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C95235" w14:textId="77777777" w:rsidR="00CB2E72" w:rsidRDefault="00CB2E72" w:rsidP="00CB2E72">
      <w:pPr>
        <w:pStyle w:val="Title"/>
      </w:pPr>
      <w:r w:rsidRPr="008E4B33">
        <w:t>Bu</w:t>
      </w:r>
      <w:r>
        <w:t xml:space="preserve">reau of Ocean Energy Management Environmental Studies Program </w:t>
      </w:r>
    </w:p>
    <w:p w14:paraId="6CC3AA6F" w14:textId="77777777" w:rsidR="007168FD" w:rsidRDefault="00CB2E72" w:rsidP="00CB2E72">
      <w:pPr>
        <w:pStyle w:val="Title"/>
        <w:rPr>
          <w:sz w:val="28"/>
          <w:szCs w:val="28"/>
          <w:highlight w:val="yellow"/>
        </w:rPr>
      </w:pPr>
      <w:r>
        <w:t>Technical Summary Specifications, Sample</w:t>
      </w:r>
      <w:r w:rsidR="00F6708D">
        <w:t>, and Template</w:t>
      </w:r>
      <w:r w:rsidRPr="008E4B33">
        <w:t xml:space="preserve"> (</w:t>
      </w:r>
      <w:r>
        <w:t>2020</w:t>
      </w:r>
      <w:r w:rsidRPr="008E4B33">
        <w:t>)</w:t>
      </w:r>
      <w:r>
        <w:br/>
      </w:r>
    </w:p>
    <w:p w14:paraId="0163B192" w14:textId="7EF54F77" w:rsidR="00CB2E72" w:rsidRPr="00A14AEE" w:rsidRDefault="00A14AEE" w:rsidP="00CB2E72">
      <w:pPr>
        <w:pStyle w:val="Title"/>
        <w:rPr>
          <w:sz w:val="32"/>
          <w:szCs w:val="32"/>
        </w:rPr>
      </w:pPr>
      <w:r w:rsidRPr="00A14AEE">
        <w:rPr>
          <w:sz w:val="32"/>
          <w:szCs w:val="32"/>
        </w:rPr>
        <w:t xml:space="preserve">Version: </w:t>
      </w:r>
      <w:r w:rsidR="00AB6D66">
        <w:rPr>
          <w:sz w:val="32"/>
          <w:szCs w:val="32"/>
        </w:rPr>
        <w:t>September</w:t>
      </w:r>
      <w:r w:rsidRPr="00A14AEE">
        <w:rPr>
          <w:sz w:val="32"/>
          <w:szCs w:val="32"/>
        </w:rPr>
        <w:t xml:space="preserve"> 2021</w:t>
      </w:r>
    </w:p>
    <w:p w14:paraId="689FDA52" w14:textId="49F3406A" w:rsidR="00091D69" w:rsidRDefault="00091D69" w:rsidP="00091D69"/>
    <w:p w14:paraId="13FB06C4" w14:textId="203F4208" w:rsidR="005E29E1" w:rsidRDefault="005E29E1" w:rsidP="00091D69"/>
    <w:p w14:paraId="35D4E28E" w14:textId="77777777" w:rsidR="005E29E1" w:rsidRDefault="005E29E1" w:rsidP="00091D69"/>
    <w:p w14:paraId="5787630A" w14:textId="77777777" w:rsidR="00091D69" w:rsidRDefault="00091D69" w:rsidP="00091D69"/>
    <w:p w14:paraId="7FEF6779" w14:textId="77777777" w:rsidR="00091D69" w:rsidRPr="00091D69" w:rsidRDefault="00091D69" w:rsidP="00091D69"/>
    <w:p w14:paraId="1E617BEE" w14:textId="061FB9E7" w:rsidR="00CB2E72" w:rsidRPr="00E66221" w:rsidRDefault="00CB2E72" w:rsidP="00CB2E72">
      <w:pPr>
        <w:pStyle w:val="Normalnospacebetween"/>
        <w:sectPr w:rsidR="00CB2E72" w:rsidRPr="00E66221" w:rsidSect="00CB2E72">
          <w:footerReference w:type="default" r:id="rId7"/>
          <w:type w:val="continuous"/>
          <w:pgSz w:w="12240" w:h="15840"/>
          <w:pgMar w:top="1440" w:right="1440" w:bottom="1440" w:left="1440" w:header="1440" w:footer="1440" w:gutter="0"/>
          <w:cols w:space="720"/>
          <w:docGrid w:linePitch="360"/>
        </w:sectPr>
      </w:pPr>
    </w:p>
    <w:p w14:paraId="1CDC0D64" w14:textId="77777777" w:rsidR="00826190" w:rsidRDefault="00826190" w:rsidP="00BE4B67">
      <w:pPr>
        <w:pStyle w:val="Heading1"/>
      </w:pPr>
      <w:r w:rsidRPr="002955A0">
        <w:lastRenderedPageBreak/>
        <w:t>Purpose</w:t>
      </w:r>
    </w:p>
    <w:p w14:paraId="40FA6415" w14:textId="50D1672E" w:rsidR="00826190" w:rsidRDefault="00CB2E72" w:rsidP="00826190">
      <w:r>
        <w:t xml:space="preserve">The Bureau of Ocean Energy Management (BOEM) Environmental Studies Program (ESP) requires a technical summary for every </w:t>
      </w:r>
      <w:r w:rsidR="00007682">
        <w:t xml:space="preserve">completed </w:t>
      </w:r>
      <w:r>
        <w:t xml:space="preserve">study. </w:t>
      </w:r>
      <w:r w:rsidR="00CD44E1">
        <w:t>This document provides guidance on how to prepare the technical summary</w:t>
      </w:r>
      <w:r w:rsidR="00C30331">
        <w:t xml:space="preserve">; it also includes </w:t>
      </w:r>
      <w:r w:rsidR="002955A0">
        <w:t>a sample technical summary and a blank template.</w:t>
      </w:r>
      <w:r w:rsidR="00CD44E1">
        <w:t xml:space="preserve"> </w:t>
      </w:r>
    </w:p>
    <w:p w14:paraId="60DE60A7" w14:textId="77777777" w:rsidR="00F43C8F" w:rsidRDefault="00F43C8F" w:rsidP="00826190">
      <w:r>
        <w:t xml:space="preserve">Additional samples are available in ESPIS at </w:t>
      </w:r>
      <w:hyperlink r:id="rId8" w:anchor="/" w:history="1">
        <w:r>
          <w:rPr>
            <w:rStyle w:val="Hyperlink"/>
          </w:rPr>
          <w:t>https://marinecadastre.gov/espis/#/</w:t>
        </w:r>
      </w:hyperlink>
      <w:r>
        <w:t>.</w:t>
      </w:r>
    </w:p>
    <w:p w14:paraId="4E2EDD81" w14:textId="77777777" w:rsidR="00826190" w:rsidRDefault="00826190" w:rsidP="002955A0">
      <w:pPr>
        <w:pStyle w:val="Heading1"/>
      </w:pPr>
      <w:r w:rsidRPr="008A044A">
        <w:t>General</w:t>
      </w:r>
      <w:r>
        <w:t xml:space="preserve"> </w:t>
      </w:r>
      <w:r w:rsidRPr="009552A2">
        <w:t>Requirements</w:t>
      </w:r>
    </w:p>
    <w:p w14:paraId="76F47AD9" w14:textId="23813C98" w:rsidR="00CD44E1" w:rsidRDefault="00CD44E1" w:rsidP="00CD44E1">
      <w:pPr>
        <w:pStyle w:val="ListParagraph"/>
        <w:numPr>
          <w:ilvl w:val="0"/>
          <w:numId w:val="3"/>
        </w:numPr>
      </w:pPr>
      <w:r>
        <w:t xml:space="preserve">Only one summary is needed for each study, </w:t>
      </w:r>
      <w:r w:rsidR="00DB60FD">
        <w:t xml:space="preserve">even if more than one report is </w:t>
      </w:r>
      <w:r w:rsidR="00007682">
        <w:t>written</w:t>
      </w:r>
      <w:r w:rsidR="00DB60FD">
        <w:t xml:space="preserve"> for a study</w:t>
      </w:r>
      <w:r w:rsidR="00007682">
        <w:t>. More than one technical summary may be submitted as needed. A technical summary is also required</w:t>
      </w:r>
      <w:r>
        <w:t xml:space="preserve"> if there is no final report for the study.</w:t>
      </w:r>
    </w:p>
    <w:p w14:paraId="1C19C0A2" w14:textId="77777777" w:rsidR="00CD44E1" w:rsidRDefault="00826190" w:rsidP="00CD44E1">
      <w:pPr>
        <w:pStyle w:val="ListParagraph"/>
        <w:numPr>
          <w:ilvl w:val="0"/>
          <w:numId w:val="3"/>
        </w:numPr>
      </w:pPr>
      <w:r>
        <w:t xml:space="preserve">To the extent possible, </w:t>
      </w:r>
      <w:r w:rsidR="00CD44E1">
        <w:t>use</w:t>
      </w:r>
      <w:r>
        <w:t xml:space="preserve"> plain language appropriate to a non-scientific audience. </w:t>
      </w:r>
    </w:p>
    <w:p w14:paraId="22FFCC9D" w14:textId="77777777" w:rsidR="00CD44E1" w:rsidRDefault="00826190" w:rsidP="00CD44E1">
      <w:pPr>
        <w:pStyle w:val="ListParagraph"/>
        <w:numPr>
          <w:ilvl w:val="0"/>
          <w:numId w:val="3"/>
        </w:numPr>
      </w:pPr>
      <w:r>
        <w:t>Use standard white pages (8.5 by 11 inches)</w:t>
      </w:r>
      <w:r w:rsidR="00CD44E1">
        <w:t>.</w:t>
      </w:r>
    </w:p>
    <w:p w14:paraId="4A595AA2" w14:textId="77777777" w:rsidR="00CD44E1" w:rsidRDefault="00CD44E1" w:rsidP="00CD44E1">
      <w:pPr>
        <w:pStyle w:val="ListParagraph"/>
        <w:numPr>
          <w:ilvl w:val="0"/>
          <w:numId w:val="3"/>
        </w:numPr>
      </w:pPr>
      <w:r>
        <w:t xml:space="preserve">The length may range from one and one-half to three single-spaced pages. </w:t>
      </w:r>
    </w:p>
    <w:p w14:paraId="60F6CA26" w14:textId="77777777" w:rsidR="00CD44E1" w:rsidRDefault="00CD44E1" w:rsidP="00CD44E1">
      <w:pPr>
        <w:pStyle w:val="ListParagraph"/>
        <w:numPr>
          <w:ilvl w:val="0"/>
          <w:numId w:val="3"/>
        </w:numPr>
      </w:pPr>
      <w:r>
        <w:t xml:space="preserve">All fields are required. </w:t>
      </w:r>
    </w:p>
    <w:p w14:paraId="76B5F0B6" w14:textId="77777777" w:rsidR="00CD44E1" w:rsidRDefault="00CD44E1" w:rsidP="00CD44E1">
      <w:pPr>
        <w:pStyle w:val="ListParagraph"/>
        <w:numPr>
          <w:ilvl w:val="0"/>
          <w:numId w:val="3"/>
        </w:numPr>
      </w:pPr>
      <w:r>
        <w:t>Use the styles and formatting provided in the sample and template.</w:t>
      </w:r>
    </w:p>
    <w:p w14:paraId="3CE07F50" w14:textId="77777777" w:rsidR="00CD44E1" w:rsidRDefault="00CD44E1" w:rsidP="00CD44E1">
      <w:pPr>
        <w:pStyle w:val="ListParagraph"/>
        <w:numPr>
          <w:ilvl w:val="0"/>
          <w:numId w:val="3"/>
        </w:numPr>
      </w:pPr>
      <w:r>
        <w:t>Prepare and submit the</w:t>
      </w:r>
      <w:r w:rsidR="00826190">
        <w:t xml:space="preserve"> technical summary using </w:t>
      </w:r>
      <w:r>
        <w:t xml:space="preserve">the Office 365 version (or earlier) </w:t>
      </w:r>
      <w:r w:rsidR="00826190">
        <w:t xml:space="preserve">version </w:t>
      </w:r>
      <w:r>
        <w:t>of</w:t>
      </w:r>
      <w:r w:rsidR="00826190">
        <w:t xml:space="preserve"> Microsoft® Word. </w:t>
      </w:r>
    </w:p>
    <w:p w14:paraId="0B80EA05" w14:textId="739095A5" w:rsidR="00826190" w:rsidRDefault="00826190" w:rsidP="00CD44E1">
      <w:pPr>
        <w:pStyle w:val="ListParagraph"/>
        <w:numPr>
          <w:ilvl w:val="0"/>
          <w:numId w:val="3"/>
        </w:numPr>
      </w:pPr>
      <w:r>
        <w:t xml:space="preserve">Any questions regarding the preparation of technical summaries should be addressed to the </w:t>
      </w:r>
      <w:r w:rsidR="00656988">
        <w:t>Contracting Officer’s Representative (COR)</w:t>
      </w:r>
      <w:r>
        <w:t xml:space="preserve"> or P</w:t>
      </w:r>
      <w:r w:rsidR="00656988">
        <w:t>roject Officer (PO)</w:t>
      </w:r>
      <w:r>
        <w:t xml:space="preserve">. </w:t>
      </w:r>
    </w:p>
    <w:p w14:paraId="6B9E8001" w14:textId="77777777" w:rsidR="00826190" w:rsidRDefault="00826190" w:rsidP="002955A0">
      <w:pPr>
        <w:pStyle w:val="Heading1"/>
      </w:pPr>
      <w:r>
        <w:t>Map of Study Area</w:t>
      </w:r>
    </w:p>
    <w:p w14:paraId="1F464C06" w14:textId="0B458C58" w:rsidR="00C30331" w:rsidRDefault="00826190" w:rsidP="00826190">
      <w:r>
        <w:t xml:space="preserve">The purpose of the map is to provide the reader with a quick reference of the location of the study. </w:t>
      </w:r>
      <w:r w:rsidR="00C30331">
        <w:t>Include a map in the technical summary when the study footprint is not already depicted in the final report. If a map of the study footprint is already included in the final report, then including a map in the technical summary is optional. It is also recognized that a footprint map may not be appropriate for some technical summaries. For example, a technical summary prepared for a report based on a laboratory study with generic application of results to all OCS areas would not require a map. The COR or PO will determine if the vendor shall include a map.</w:t>
      </w:r>
    </w:p>
    <w:p w14:paraId="35530F37" w14:textId="71FB64D2" w:rsidR="00C30331" w:rsidRDefault="00C30331" w:rsidP="00826190">
      <w:r>
        <w:t>Generally, t</w:t>
      </w:r>
      <w:r w:rsidR="00826190">
        <w:t>he map shall be on a separate page from the text. Label major reference points on land (cities, state boundaries, etc.) and offshore features (canyons, banks, etc.). Provide latitude and longitude, map scale, and bathymetric contours at 200</w:t>
      </w:r>
      <w:r w:rsidR="00104E72">
        <w:t>-</w:t>
      </w:r>
      <w:r w:rsidR="00826190">
        <w:t xml:space="preserve">m water depths and other meaningful isobaths. </w:t>
      </w:r>
    </w:p>
    <w:p w14:paraId="34F16E58" w14:textId="2D22FCAA" w:rsidR="00C30331" w:rsidRDefault="00C30331" w:rsidP="00826190">
      <w:r>
        <w:t xml:space="preserve">For additional information, refer to the ESPIS Study Footprint Specifications on the </w:t>
      </w:r>
      <w:r w:rsidRPr="00C30331">
        <w:t>ESP Data And Information Specifications</w:t>
      </w:r>
      <w:r>
        <w:t xml:space="preserve"> webpage (</w:t>
      </w:r>
      <w:hyperlink r:id="rId9" w:history="1">
        <w:r>
          <w:rPr>
            <w:rStyle w:val="Hyperlink"/>
          </w:rPr>
          <w:t>https://www.boem.gov/esp-data-and-information-specifications</w:t>
        </w:r>
      </w:hyperlink>
      <w:r>
        <w:t>).</w:t>
      </w:r>
    </w:p>
    <w:p w14:paraId="65212A33" w14:textId="77777777" w:rsidR="00826190" w:rsidRDefault="00826190" w:rsidP="00826190">
      <w:pPr>
        <w:spacing w:before="0" w:after="200" w:line="276" w:lineRule="auto"/>
        <w:rPr>
          <w:rFonts w:ascii="Arial" w:eastAsiaTheme="majorEastAsia" w:hAnsi="Arial" w:cstheme="majorBidi"/>
          <w:b/>
          <w:bCs/>
          <w:szCs w:val="28"/>
        </w:rPr>
      </w:pPr>
      <w:r>
        <w:br w:type="page"/>
      </w:r>
    </w:p>
    <w:p w14:paraId="445CCAEE" w14:textId="77777777" w:rsidR="002955A0" w:rsidRPr="002955A0" w:rsidRDefault="00826190" w:rsidP="00F43C8F">
      <w:pPr>
        <w:pStyle w:val="Heading1"/>
        <w:spacing w:after="240"/>
      </w:pPr>
      <w:r>
        <w:lastRenderedPageBreak/>
        <w:t xml:space="preserve">Sample Technical Summary </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605"/>
        <w:gridCol w:w="6745"/>
      </w:tblGrid>
      <w:tr w:rsidR="003203A6" w:rsidRPr="00604AE1" w14:paraId="68C89A06" w14:textId="77777777" w:rsidTr="00C85B3E">
        <w:tc>
          <w:tcPr>
            <w:tcW w:w="2605" w:type="dxa"/>
            <w:shd w:val="clear" w:color="auto" w:fill="DBE5F1" w:themeFill="accent1" w:themeFillTint="33"/>
            <w:vAlign w:val="center"/>
          </w:tcPr>
          <w:p w14:paraId="36E1F596" w14:textId="77777777" w:rsidR="003203A6" w:rsidRPr="00604AE1" w:rsidRDefault="003203A6" w:rsidP="00816081">
            <w:pPr>
              <w:spacing w:before="0"/>
              <w:rPr>
                <w:rFonts w:eastAsiaTheme="majorEastAsia" w:cstheme="minorHAnsi"/>
                <w:bCs/>
                <w:sz w:val="20"/>
                <w:szCs w:val="20"/>
              </w:rPr>
            </w:pPr>
            <w:r w:rsidRPr="00604AE1">
              <w:rPr>
                <w:rFonts w:cstheme="minorHAnsi"/>
                <w:sz w:val="20"/>
                <w:szCs w:val="20"/>
              </w:rPr>
              <w:t>Study Title</w:t>
            </w:r>
          </w:p>
        </w:tc>
        <w:tc>
          <w:tcPr>
            <w:tcW w:w="6745" w:type="dxa"/>
            <w:vAlign w:val="center"/>
          </w:tcPr>
          <w:p w14:paraId="15974F44" w14:textId="77777777" w:rsidR="003203A6" w:rsidRPr="00604AE1" w:rsidRDefault="003203A6" w:rsidP="00816081">
            <w:pPr>
              <w:spacing w:before="0"/>
              <w:rPr>
                <w:rFonts w:cstheme="minorHAnsi"/>
                <w:b/>
                <w:sz w:val="20"/>
                <w:szCs w:val="20"/>
              </w:rPr>
            </w:pPr>
            <w:r w:rsidRPr="00604AE1">
              <w:rPr>
                <w:rFonts w:cstheme="minorHAnsi"/>
                <w:sz w:val="20"/>
                <w:szCs w:val="20"/>
              </w:rPr>
              <w:t>Characterizing and Quantifying Sea Lion and Seal Use of Offshore Manmade Structures Off California</w:t>
            </w:r>
          </w:p>
        </w:tc>
      </w:tr>
      <w:tr w:rsidR="003203A6" w:rsidRPr="00604AE1" w14:paraId="58720747" w14:textId="77777777" w:rsidTr="00C85B3E">
        <w:tc>
          <w:tcPr>
            <w:tcW w:w="2605" w:type="dxa"/>
            <w:shd w:val="clear" w:color="auto" w:fill="DBE5F1" w:themeFill="accent1" w:themeFillTint="33"/>
            <w:vAlign w:val="center"/>
          </w:tcPr>
          <w:p w14:paraId="72C9CC77" w14:textId="77777777" w:rsidR="003203A6" w:rsidRPr="00604AE1" w:rsidRDefault="003203A6" w:rsidP="00816081">
            <w:pPr>
              <w:spacing w:before="0"/>
              <w:rPr>
                <w:rFonts w:cstheme="minorHAnsi"/>
                <w:sz w:val="20"/>
                <w:szCs w:val="20"/>
              </w:rPr>
            </w:pPr>
            <w:r w:rsidRPr="00604AE1">
              <w:rPr>
                <w:rFonts w:cstheme="minorHAnsi"/>
                <w:sz w:val="20"/>
                <w:szCs w:val="20"/>
              </w:rPr>
              <w:t>Report Title</w:t>
            </w:r>
          </w:p>
        </w:tc>
        <w:tc>
          <w:tcPr>
            <w:tcW w:w="6745" w:type="dxa"/>
            <w:vAlign w:val="center"/>
          </w:tcPr>
          <w:p w14:paraId="42B5EDD6" w14:textId="657F043C" w:rsidR="003203A6" w:rsidRPr="00604AE1" w:rsidRDefault="003203A6" w:rsidP="00816081">
            <w:pPr>
              <w:spacing w:before="0"/>
              <w:rPr>
                <w:rFonts w:cstheme="minorHAnsi"/>
                <w:b/>
                <w:sz w:val="20"/>
                <w:szCs w:val="20"/>
              </w:rPr>
            </w:pPr>
            <w:r w:rsidRPr="00604AE1">
              <w:rPr>
                <w:rFonts w:cstheme="minorHAnsi"/>
                <w:sz w:val="20"/>
                <w:szCs w:val="20"/>
              </w:rPr>
              <w:t xml:space="preserve">Characterizing and </w:t>
            </w:r>
            <w:r w:rsidR="00104E72" w:rsidRPr="00604AE1">
              <w:rPr>
                <w:rFonts w:cstheme="minorHAnsi"/>
                <w:sz w:val="20"/>
                <w:szCs w:val="20"/>
              </w:rPr>
              <w:t xml:space="preserve">Quantifying </w:t>
            </w:r>
            <w:r w:rsidRPr="00604AE1">
              <w:rPr>
                <w:rFonts w:cstheme="minorHAnsi"/>
                <w:sz w:val="20"/>
                <w:szCs w:val="20"/>
              </w:rPr>
              <w:t xml:space="preserve">California </w:t>
            </w:r>
            <w:r w:rsidR="00104E72" w:rsidRPr="00604AE1">
              <w:rPr>
                <w:rFonts w:cstheme="minorHAnsi"/>
                <w:sz w:val="20"/>
                <w:szCs w:val="20"/>
              </w:rPr>
              <w:t xml:space="preserve">Sea Lion </w:t>
            </w:r>
            <w:r w:rsidRPr="00604AE1">
              <w:rPr>
                <w:rFonts w:cstheme="minorHAnsi"/>
                <w:sz w:val="20"/>
                <w:szCs w:val="20"/>
              </w:rPr>
              <w:t>(</w:t>
            </w:r>
            <w:r w:rsidRPr="00604AE1">
              <w:rPr>
                <w:rFonts w:cstheme="minorHAnsi"/>
                <w:i/>
                <w:sz w:val="20"/>
                <w:szCs w:val="20"/>
              </w:rPr>
              <w:t xml:space="preserve">Zalophus </w:t>
            </w:r>
            <w:proofErr w:type="spellStart"/>
            <w:r w:rsidRPr="00604AE1">
              <w:rPr>
                <w:rFonts w:cstheme="minorHAnsi"/>
                <w:i/>
                <w:sz w:val="20"/>
                <w:szCs w:val="20"/>
              </w:rPr>
              <w:t>califorianus</w:t>
            </w:r>
            <w:proofErr w:type="spellEnd"/>
            <w:r w:rsidRPr="00604AE1">
              <w:rPr>
                <w:rFonts w:cstheme="minorHAnsi"/>
                <w:sz w:val="20"/>
                <w:szCs w:val="20"/>
              </w:rPr>
              <w:t xml:space="preserve">) </w:t>
            </w:r>
            <w:r w:rsidR="00104E72" w:rsidRPr="00604AE1">
              <w:rPr>
                <w:rFonts w:cstheme="minorHAnsi"/>
                <w:sz w:val="20"/>
                <w:szCs w:val="20"/>
              </w:rPr>
              <w:t xml:space="preserve">Use </w:t>
            </w:r>
            <w:r w:rsidRPr="00604AE1">
              <w:rPr>
                <w:rFonts w:cstheme="minorHAnsi"/>
                <w:sz w:val="20"/>
                <w:szCs w:val="20"/>
              </w:rPr>
              <w:t xml:space="preserve">of </w:t>
            </w:r>
            <w:r w:rsidR="00104E72" w:rsidRPr="00604AE1">
              <w:rPr>
                <w:rFonts w:cstheme="minorHAnsi"/>
                <w:sz w:val="20"/>
                <w:szCs w:val="20"/>
              </w:rPr>
              <w:t xml:space="preserve">Offshore Oil </w:t>
            </w:r>
            <w:r w:rsidRPr="00604AE1">
              <w:rPr>
                <w:rFonts w:cstheme="minorHAnsi"/>
                <w:sz w:val="20"/>
                <w:szCs w:val="20"/>
              </w:rPr>
              <w:t xml:space="preserve">and </w:t>
            </w:r>
            <w:r w:rsidR="00104E72" w:rsidRPr="00604AE1">
              <w:rPr>
                <w:rFonts w:cstheme="minorHAnsi"/>
                <w:sz w:val="20"/>
                <w:szCs w:val="20"/>
              </w:rPr>
              <w:t xml:space="preserve">Gas Platforms </w:t>
            </w:r>
            <w:r w:rsidRPr="00604AE1">
              <w:rPr>
                <w:rFonts w:cstheme="minorHAnsi"/>
                <w:sz w:val="20"/>
                <w:szCs w:val="20"/>
              </w:rPr>
              <w:t>in California</w:t>
            </w:r>
          </w:p>
        </w:tc>
      </w:tr>
      <w:tr w:rsidR="003203A6" w:rsidRPr="00604AE1" w14:paraId="5D8601CF" w14:textId="77777777" w:rsidTr="00C85B3E">
        <w:tc>
          <w:tcPr>
            <w:tcW w:w="2605" w:type="dxa"/>
            <w:shd w:val="clear" w:color="auto" w:fill="DBE5F1" w:themeFill="accent1" w:themeFillTint="33"/>
            <w:vAlign w:val="center"/>
          </w:tcPr>
          <w:p w14:paraId="298E1526" w14:textId="0AF5884F" w:rsidR="003203A6" w:rsidRPr="00604AE1" w:rsidRDefault="00104E72" w:rsidP="00816081">
            <w:pPr>
              <w:spacing w:before="0"/>
              <w:rPr>
                <w:rFonts w:cstheme="minorHAnsi"/>
                <w:sz w:val="20"/>
                <w:szCs w:val="20"/>
              </w:rPr>
            </w:pPr>
            <w:r w:rsidRPr="00604AE1">
              <w:rPr>
                <w:rFonts w:cstheme="minorHAnsi"/>
                <w:sz w:val="20"/>
                <w:szCs w:val="20"/>
              </w:rPr>
              <w:t>Report Number(s) (</w:t>
            </w:r>
            <w:r w:rsidR="003203A6" w:rsidRPr="00604AE1">
              <w:rPr>
                <w:rFonts w:cstheme="minorHAnsi"/>
                <w:sz w:val="20"/>
                <w:szCs w:val="20"/>
              </w:rPr>
              <w:t>OCS Study</w:t>
            </w:r>
            <w:r w:rsidRPr="00604AE1">
              <w:rPr>
                <w:rFonts w:cstheme="minorHAnsi"/>
                <w:sz w:val="20"/>
                <w:szCs w:val="20"/>
              </w:rPr>
              <w:t>)</w:t>
            </w:r>
          </w:p>
        </w:tc>
        <w:tc>
          <w:tcPr>
            <w:tcW w:w="6745" w:type="dxa"/>
            <w:vAlign w:val="center"/>
          </w:tcPr>
          <w:p w14:paraId="4ACE0AED" w14:textId="77777777" w:rsidR="003203A6" w:rsidRPr="00604AE1" w:rsidRDefault="003203A6" w:rsidP="00816081">
            <w:pPr>
              <w:spacing w:before="0"/>
              <w:rPr>
                <w:rFonts w:cstheme="minorHAnsi"/>
                <w:b/>
                <w:sz w:val="20"/>
                <w:szCs w:val="20"/>
              </w:rPr>
            </w:pPr>
            <w:r w:rsidRPr="00604AE1">
              <w:rPr>
                <w:rFonts w:cstheme="minorHAnsi"/>
                <w:sz w:val="20"/>
                <w:szCs w:val="20"/>
              </w:rPr>
              <w:t>BOEM 2016-009</w:t>
            </w:r>
          </w:p>
        </w:tc>
      </w:tr>
      <w:tr w:rsidR="00104E72" w:rsidRPr="00604AE1" w14:paraId="733B8203" w14:textId="77777777" w:rsidTr="00C85B3E">
        <w:tc>
          <w:tcPr>
            <w:tcW w:w="2605" w:type="dxa"/>
            <w:shd w:val="clear" w:color="auto" w:fill="DBE5F1" w:themeFill="accent1" w:themeFillTint="33"/>
            <w:vAlign w:val="center"/>
          </w:tcPr>
          <w:p w14:paraId="427A23E5" w14:textId="11A3F360" w:rsidR="00104E72" w:rsidRPr="00604AE1" w:rsidRDefault="00104E72" w:rsidP="00104E72">
            <w:pPr>
              <w:spacing w:before="0"/>
              <w:rPr>
                <w:rFonts w:cstheme="minorHAnsi"/>
                <w:sz w:val="20"/>
                <w:szCs w:val="20"/>
              </w:rPr>
            </w:pPr>
            <w:r w:rsidRPr="00604AE1">
              <w:rPr>
                <w:rFonts w:cstheme="minorHAnsi"/>
                <w:sz w:val="20"/>
                <w:szCs w:val="20"/>
              </w:rPr>
              <w:t>Completion Date of Report</w:t>
            </w:r>
          </w:p>
        </w:tc>
        <w:tc>
          <w:tcPr>
            <w:tcW w:w="6745" w:type="dxa"/>
            <w:vAlign w:val="center"/>
          </w:tcPr>
          <w:p w14:paraId="62BFCD80" w14:textId="59BC7241" w:rsidR="00104E72" w:rsidRPr="00604AE1" w:rsidRDefault="00104E72" w:rsidP="00104E72">
            <w:pPr>
              <w:spacing w:before="0"/>
              <w:rPr>
                <w:rFonts w:cstheme="minorHAnsi"/>
                <w:sz w:val="20"/>
                <w:szCs w:val="20"/>
              </w:rPr>
            </w:pPr>
            <w:r w:rsidRPr="00604AE1">
              <w:rPr>
                <w:rFonts w:cstheme="minorHAnsi"/>
                <w:sz w:val="20"/>
                <w:szCs w:val="20"/>
              </w:rPr>
              <w:t>July 2016</w:t>
            </w:r>
          </w:p>
        </w:tc>
      </w:tr>
      <w:tr w:rsidR="00104E72" w:rsidRPr="00604AE1" w14:paraId="5F029081" w14:textId="77777777" w:rsidTr="00C85B3E">
        <w:tc>
          <w:tcPr>
            <w:tcW w:w="2605" w:type="dxa"/>
            <w:shd w:val="clear" w:color="auto" w:fill="DBE5F1" w:themeFill="accent1" w:themeFillTint="33"/>
            <w:vAlign w:val="center"/>
          </w:tcPr>
          <w:p w14:paraId="7900489F" w14:textId="32DBA41E" w:rsidR="00104E72" w:rsidRPr="00604AE1" w:rsidRDefault="00104E72" w:rsidP="00104E72">
            <w:pPr>
              <w:spacing w:before="0"/>
              <w:rPr>
                <w:rFonts w:cstheme="minorHAnsi"/>
                <w:sz w:val="20"/>
                <w:szCs w:val="20"/>
              </w:rPr>
            </w:pPr>
            <w:r w:rsidRPr="00604AE1">
              <w:rPr>
                <w:rFonts w:cstheme="minorHAnsi"/>
                <w:sz w:val="20"/>
                <w:szCs w:val="20"/>
              </w:rPr>
              <w:t xml:space="preserve">Number of Pages </w:t>
            </w:r>
          </w:p>
        </w:tc>
        <w:tc>
          <w:tcPr>
            <w:tcW w:w="6745" w:type="dxa"/>
            <w:vAlign w:val="center"/>
          </w:tcPr>
          <w:p w14:paraId="1AEF0795" w14:textId="77777777" w:rsidR="00104E72" w:rsidRPr="00604AE1" w:rsidRDefault="00104E72" w:rsidP="00104E72">
            <w:pPr>
              <w:spacing w:before="0"/>
              <w:rPr>
                <w:rFonts w:cstheme="minorHAnsi"/>
                <w:b/>
                <w:sz w:val="20"/>
                <w:szCs w:val="20"/>
              </w:rPr>
            </w:pPr>
            <w:r w:rsidRPr="00604AE1">
              <w:rPr>
                <w:rFonts w:cstheme="minorHAnsi"/>
                <w:sz w:val="20"/>
                <w:szCs w:val="20"/>
              </w:rPr>
              <w:t>36</w:t>
            </w:r>
          </w:p>
        </w:tc>
      </w:tr>
      <w:tr w:rsidR="00104E72" w:rsidRPr="00604AE1" w14:paraId="712B6AF3" w14:textId="77777777" w:rsidTr="00C85B3E">
        <w:tc>
          <w:tcPr>
            <w:tcW w:w="2605" w:type="dxa"/>
            <w:shd w:val="clear" w:color="auto" w:fill="DBE5F1" w:themeFill="accent1" w:themeFillTint="33"/>
            <w:vAlign w:val="center"/>
          </w:tcPr>
          <w:p w14:paraId="006E999B" w14:textId="1F9F9B25" w:rsidR="00104E72" w:rsidRPr="00604AE1" w:rsidRDefault="00104E72" w:rsidP="00104E72">
            <w:pPr>
              <w:spacing w:before="0"/>
              <w:rPr>
                <w:rFonts w:cstheme="minorHAnsi"/>
                <w:sz w:val="20"/>
                <w:szCs w:val="20"/>
              </w:rPr>
            </w:pPr>
            <w:r w:rsidRPr="00604AE1">
              <w:rPr>
                <w:rFonts w:cstheme="minorHAnsi"/>
                <w:sz w:val="20"/>
                <w:szCs w:val="20"/>
              </w:rPr>
              <w:t>Award Number(s)</w:t>
            </w:r>
          </w:p>
        </w:tc>
        <w:tc>
          <w:tcPr>
            <w:tcW w:w="6745" w:type="dxa"/>
            <w:vAlign w:val="center"/>
          </w:tcPr>
          <w:p w14:paraId="2E0782A3" w14:textId="77777777" w:rsidR="00104E72" w:rsidRPr="00604AE1" w:rsidRDefault="00104E72" w:rsidP="00104E72">
            <w:pPr>
              <w:spacing w:before="0"/>
              <w:rPr>
                <w:rFonts w:cstheme="minorHAnsi"/>
                <w:sz w:val="20"/>
                <w:szCs w:val="20"/>
              </w:rPr>
            </w:pPr>
            <w:r w:rsidRPr="00604AE1">
              <w:rPr>
                <w:rFonts w:cstheme="minorHAnsi"/>
                <w:sz w:val="20"/>
                <w:szCs w:val="20"/>
              </w:rPr>
              <w:t>M12PG00027</w:t>
            </w:r>
          </w:p>
        </w:tc>
      </w:tr>
      <w:tr w:rsidR="00104E72" w:rsidRPr="00604AE1" w14:paraId="61B01314" w14:textId="77777777" w:rsidTr="00C85B3E">
        <w:tc>
          <w:tcPr>
            <w:tcW w:w="2605" w:type="dxa"/>
            <w:shd w:val="clear" w:color="auto" w:fill="DBE5F1" w:themeFill="accent1" w:themeFillTint="33"/>
            <w:vAlign w:val="center"/>
          </w:tcPr>
          <w:p w14:paraId="29B2D969" w14:textId="1D64283D" w:rsidR="00104E72" w:rsidRPr="00604AE1" w:rsidRDefault="00104E72" w:rsidP="00104E72">
            <w:pPr>
              <w:spacing w:before="0"/>
              <w:rPr>
                <w:rFonts w:cstheme="minorHAnsi"/>
                <w:sz w:val="20"/>
                <w:szCs w:val="20"/>
              </w:rPr>
            </w:pPr>
            <w:r w:rsidRPr="00604AE1">
              <w:rPr>
                <w:rFonts w:cstheme="minorHAnsi"/>
                <w:sz w:val="20"/>
                <w:szCs w:val="20"/>
              </w:rPr>
              <w:t>Sponsoring OCS Region or Office</w:t>
            </w:r>
          </w:p>
        </w:tc>
        <w:tc>
          <w:tcPr>
            <w:tcW w:w="6745" w:type="dxa"/>
            <w:vAlign w:val="center"/>
          </w:tcPr>
          <w:p w14:paraId="4D4B6D61" w14:textId="77777777" w:rsidR="00104E72" w:rsidRPr="00604AE1" w:rsidRDefault="00104E72" w:rsidP="00104E72">
            <w:pPr>
              <w:spacing w:before="0"/>
              <w:rPr>
                <w:rFonts w:cstheme="minorHAnsi"/>
                <w:sz w:val="20"/>
                <w:szCs w:val="20"/>
              </w:rPr>
            </w:pPr>
            <w:r w:rsidRPr="00604AE1">
              <w:rPr>
                <w:rFonts w:cstheme="minorHAnsi"/>
                <w:sz w:val="20"/>
                <w:szCs w:val="20"/>
              </w:rPr>
              <w:t>Pacific</w:t>
            </w:r>
          </w:p>
        </w:tc>
      </w:tr>
      <w:tr w:rsidR="00104E72" w:rsidRPr="00604AE1" w14:paraId="648CF63D" w14:textId="77777777" w:rsidTr="00C85B3E">
        <w:tc>
          <w:tcPr>
            <w:tcW w:w="2605" w:type="dxa"/>
            <w:shd w:val="clear" w:color="auto" w:fill="DBE5F1" w:themeFill="accent1" w:themeFillTint="33"/>
            <w:vAlign w:val="center"/>
          </w:tcPr>
          <w:p w14:paraId="3AD8D53C" w14:textId="77777777" w:rsidR="00104E72" w:rsidRPr="00604AE1" w:rsidRDefault="00104E72" w:rsidP="00104E72">
            <w:pPr>
              <w:spacing w:before="0"/>
              <w:rPr>
                <w:rFonts w:cstheme="minorHAnsi"/>
                <w:sz w:val="20"/>
                <w:szCs w:val="20"/>
              </w:rPr>
            </w:pPr>
            <w:r w:rsidRPr="00604AE1">
              <w:rPr>
                <w:rFonts w:cstheme="minorHAnsi"/>
                <w:sz w:val="20"/>
                <w:szCs w:val="20"/>
              </w:rPr>
              <w:t>Applicable Planning Area(s)</w:t>
            </w:r>
          </w:p>
        </w:tc>
        <w:tc>
          <w:tcPr>
            <w:tcW w:w="6745" w:type="dxa"/>
            <w:vAlign w:val="center"/>
          </w:tcPr>
          <w:p w14:paraId="2B793903" w14:textId="77777777" w:rsidR="00104E72" w:rsidRPr="00604AE1" w:rsidRDefault="00104E72" w:rsidP="00104E72">
            <w:pPr>
              <w:spacing w:before="0"/>
              <w:rPr>
                <w:rFonts w:cstheme="minorHAnsi"/>
                <w:sz w:val="20"/>
                <w:szCs w:val="20"/>
              </w:rPr>
            </w:pPr>
            <w:r w:rsidRPr="00604AE1">
              <w:rPr>
                <w:rFonts w:cstheme="minorHAnsi"/>
                <w:sz w:val="20"/>
                <w:szCs w:val="20"/>
              </w:rPr>
              <w:t>Southern California</w:t>
            </w:r>
          </w:p>
        </w:tc>
      </w:tr>
      <w:tr w:rsidR="00104E72" w:rsidRPr="00604AE1" w14:paraId="3319559E" w14:textId="77777777" w:rsidTr="00C85B3E">
        <w:tc>
          <w:tcPr>
            <w:tcW w:w="2605" w:type="dxa"/>
            <w:shd w:val="clear" w:color="auto" w:fill="DBE5F1" w:themeFill="accent1" w:themeFillTint="33"/>
            <w:vAlign w:val="center"/>
          </w:tcPr>
          <w:p w14:paraId="0ECF6D50" w14:textId="76278222" w:rsidR="00104E72" w:rsidRPr="00604AE1" w:rsidRDefault="00104E72" w:rsidP="00104E72">
            <w:pPr>
              <w:spacing w:before="0"/>
              <w:rPr>
                <w:rFonts w:cstheme="minorHAnsi"/>
                <w:sz w:val="20"/>
                <w:szCs w:val="20"/>
              </w:rPr>
            </w:pPr>
            <w:r w:rsidRPr="00604AE1">
              <w:rPr>
                <w:rFonts w:cstheme="minorHAnsi"/>
                <w:sz w:val="20"/>
                <w:szCs w:val="20"/>
              </w:rPr>
              <w:t>Fiscal Year(s) of Study Funding</w:t>
            </w:r>
          </w:p>
        </w:tc>
        <w:tc>
          <w:tcPr>
            <w:tcW w:w="6745" w:type="dxa"/>
            <w:vAlign w:val="center"/>
          </w:tcPr>
          <w:p w14:paraId="46A13FCC" w14:textId="77777777" w:rsidR="00104E72" w:rsidRPr="00604AE1" w:rsidRDefault="00104E72" w:rsidP="00104E72">
            <w:pPr>
              <w:spacing w:before="0"/>
              <w:rPr>
                <w:rFonts w:cstheme="minorHAnsi"/>
                <w:sz w:val="20"/>
                <w:szCs w:val="20"/>
              </w:rPr>
            </w:pPr>
            <w:r w:rsidRPr="00604AE1">
              <w:rPr>
                <w:rFonts w:cstheme="minorHAnsi"/>
                <w:sz w:val="20"/>
                <w:szCs w:val="20"/>
              </w:rPr>
              <w:t>FY 2012: $250,000</w:t>
            </w:r>
          </w:p>
        </w:tc>
      </w:tr>
      <w:tr w:rsidR="00104E72" w:rsidRPr="00604AE1" w14:paraId="372A808B" w14:textId="77777777" w:rsidTr="00C85B3E">
        <w:tc>
          <w:tcPr>
            <w:tcW w:w="2605" w:type="dxa"/>
            <w:shd w:val="clear" w:color="auto" w:fill="DBE5F1" w:themeFill="accent1" w:themeFillTint="33"/>
            <w:vAlign w:val="center"/>
          </w:tcPr>
          <w:p w14:paraId="6DF66670" w14:textId="77777777" w:rsidR="00104E72" w:rsidRPr="00604AE1" w:rsidRDefault="00104E72" w:rsidP="00104E72">
            <w:pPr>
              <w:spacing w:before="0"/>
              <w:rPr>
                <w:rFonts w:cstheme="minorHAnsi"/>
                <w:sz w:val="20"/>
                <w:szCs w:val="20"/>
              </w:rPr>
            </w:pPr>
            <w:r w:rsidRPr="00604AE1">
              <w:rPr>
                <w:rFonts w:cstheme="minorHAnsi"/>
                <w:sz w:val="20"/>
                <w:szCs w:val="20"/>
              </w:rPr>
              <w:t>Costs by Fiscal Year</w:t>
            </w:r>
          </w:p>
        </w:tc>
        <w:tc>
          <w:tcPr>
            <w:tcW w:w="6745" w:type="dxa"/>
            <w:vAlign w:val="center"/>
          </w:tcPr>
          <w:p w14:paraId="20C4C0F0" w14:textId="77777777" w:rsidR="00104E72" w:rsidRPr="00604AE1" w:rsidRDefault="00104E72" w:rsidP="00104E72">
            <w:pPr>
              <w:spacing w:before="0"/>
              <w:rPr>
                <w:rFonts w:cstheme="minorHAnsi"/>
                <w:sz w:val="20"/>
                <w:szCs w:val="20"/>
              </w:rPr>
            </w:pPr>
            <w:r w:rsidRPr="00604AE1">
              <w:rPr>
                <w:rFonts w:cstheme="minorHAnsi"/>
                <w:sz w:val="20"/>
                <w:szCs w:val="20"/>
              </w:rPr>
              <w:t>FY 2012: $0; FY 2013: $122,820.24; FY 2014: $42,608.02; FY 2015: $60,767.91; FY 2016: $19,538.77</w:t>
            </w:r>
          </w:p>
        </w:tc>
      </w:tr>
      <w:tr w:rsidR="00104E72" w:rsidRPr="00604AE1" w14:paraId="327F9C34" w14:textId="77777777" w:rsidTr="00C85B3E">
        <w:tc>
          <w:tcPr>
            <w:tcW w:w="2605" w:type="dxa"/>
            <w:shd w:val="clear" w:color="auto" w:fill="DBE5F1" w:themeFill="accent1" w:themeFillTint="33"/>
            <w:vAlign w:val="center"/>
          </w:tcPr>
          <w:p w14:paraId="749227AA" w14:textId="77777777" w:rsidR="00104E72" w:rsidRPr="00604AE1" w:rsidRDefault="00104E72" w:rsidP="00104E72">
            <w:pPr>
              <w:spacing w:before="0"/>
              <w:rPr>
                <w:rFonts w:cstheme="minorHAnsi"/>
                <w:sz w:val="20"/>
                <w:szCs w:val="20"/>
              </w:rPr>
            </w:pPr>
            <w:r w:rsidRPr="00604AE1">
              <w:rPr>
                <w:rFonts w:cstheme="minorHAnsi"/>
                <w:sz w:val="20"/>
                <w:szCs w:val="20"/>
              </w:rPr>
              <w:t>Cumulative Project Cost</w:t>
            </w:r>
          </w:p>
        </w:tc>
        <w:tc>
          <w:tcPr>
            <w:tcW w:w="6745" w:type="dxa"/>
            <w:vAlign w:val="center"/>
          </w:tcPr>
          <w:p w14:paraId="2608966D" w14:textId="77777777" w:rsidR="00104E72" w:rsidRPr="00604AE1" w:rsidRDefault="00104E72" w:rsidP="00104E72">
            <w:pPr>
              <w:spacing w:before="0"/>
              <w:rPr>
                <w:rFonts w:cstheme="minorHAnsi"/>
                <w:sz w:val="20"/>
                <w:szCs w:val="20"/>
              </w:rPr>
            </w:pPr>
            <w:r w:rsidRPr="00604AE1">
              <w:rPr>
                <w:rFonts w:cstheme="minorHAnsi"/>
                <w:sz w:val="20"/>
                <w:szCs w:val="20"/>
              </w:rPr>
              <w:t>$245,734.94</w:t>
            </w:r>
          </w:p>
        </w:tc>
      </w:tr>
      <w:tr w:rsidR="00104E72" w:rsidRPr="00604AE1" w14:paraId="1DC154A9" w14:textId="77777777" w:rsidTr="00C85B3E">
        <w:tc>
          <w:tcPr>
            <w:tcW w:w="2605" w:type="dxa"/>
            <w:shd w:val="clear" w:color="auto" w:fill="DBE5F1" w:themeFill="accent1" w:themeFillTint="33"/>
            <w:vAlign w:val="center"/>
          </w:tcPr>
          <w:p w14:paraId="2AD77845" w14:textId="77777777" w:rsidR="00104E72" w:rsidRPr="00604AE1" w:rsidRDefault="00104E72" w:rsidP="00104E72">
            <w:pPr>
              <w:spacing w:before="0"/>
              <w:rPr>
                <w:rFonts w:cstheme="minorHAnsi"/>
                <w:sz w:val="20"/>
                <w:szCs w:val="20"/>
              </w:rPr>
            </w:pPr>
            <w:r w:rsidRPr="00604AE1">
              <w:rPr>
                <w:rFonts w:cstheme="minorHAnsi"/>
                <w:sz w:val="20"/>
                <w:szCs w:val="20"/>
              </w:rPr>
              <w:t>Project Manager(s)</w:t>
            </w:r>
          </w:p>
        </w:tc>
        <w:tc>
          <w:tcPr>
            <w:tcW w:w="6745" w:type="dxa"/>
            <w:vAlign w:val="center"/>
          </w:tcPr>
          <w:p w14:paraId="272DA936" w14:textId="77777777" w:rsidR="00104E72" w:rsidRPr="00604AE1" w:rsidRDefault="00104E72" w:rsidP="00104E72">
            <w:pPr>
              <w:spacing w:before="0"/>
              <w:rPr>
                <w:rFonts w:cstheme="minorHAnsi"/>
                <w:sz w:val="20"/>
                <w:szCs w:val="20"/>
              </w:rPr>
            </w:pPr>
            <w:r w:rsidRPr="00604AE1">
              <w:rPr>
                <w:rFonts w:cstheme="minorHAnsi"/>
                <w:sz w:val="20"/>
                <w:szCs w:val="20"/>
              </w:rPr>
              <w:t>Robert L. DeLong and Anthony J. Orr</w:t>
            </w:r>
          </w:p>
        </w:tc>
      </w:tr>
      <w:tr w:rsidR="00104E72" w:rsidRPr="00604AE1" w14:paraId="65C6CF04" w14:textId="77777777" w:rsidTr="00C85B3E">
        <w:tc>
          <w:tcPr>
            <w:tcW w:w="2605" w:type="dxa"/>
            <w:shd w:val="clear" w:color="auto" w:fill="DBE5F1" w:themeFill="accent1" w:themeFillTint="33"/>
            <w:vAlign w:val="center"/>
          </w:tcPr>
          <w:p w14:paraId="1CD99B48" w14:textId="79EE4417" w:rsidR="00104E72" w:rsidRPr="00604AE1" w:rsidRDefault="00104E72" w:rsidP="00104E72">
            <w:pPr>
              <w:spacing w:before="0"/>
              <w:rPr>
                <w:rFonts w:cstheme="minorHAnsi"/>
                <w:sz w:val="20"/>
                <w:szCs w:val="20"/>
              </w:rPr>
            </w:pPr>
            <w:r w:rsidRPr="00604AE1">
              <w:rPr>
                <w:rFonts w:cstheme="minorHAnsi"/>
                <w:sz w:val="20"/>
                <w:szCs w:val="20"/>
              </w:rPr>
              <w:t>Affiliation of Project Manager(s)</w:t>
            </w:r>
          </w:p>
        </w:tc>
        <w:tc>
          <w:tcPr>
            <w:tcW w:w="6745" w:type="dxa"/>
            <w:vAlign w:val="center"/>
          </w:tcPr>
          <w:p w14:paraId="6326E25C" w14:textId="77777777" w:rsidR="00104E72" w:rsidRPr="00604AE1" w:rsidRDefault="00104E72" w:rsidP="00104E72">
            <w:pPr>
              <w:spacing w:before="0"/>
              <w:rPr>
                <w:rFonts w:cstheme="minorHAnsi"/>
                <w:sz w:val="20"/>
                <w:szCs w:val="20"/>
              </w:rPr>
            </w:pPr>
            <w:r w:rsidRPr="00604AE1">
              <w:rPr>
                <w:rFonts w:cstheme="minorHAnsi"/>
                <w:sz w:val="20"/>
                <w:szCs w:val="20"/>
              </w:rPr>
              <w:t>Marine Mammal Laboratory, Alaska Fisheries Science Center, NOAA Fisheries, National Oceanic and Atmospheric Administration</w:t>
            </w:r>
          </w:p>
        </w:tc>
      </w:tr>
      <w:tr w:rsidR="00104E72" w:rsidRPr="00604AE1" w14:paraId="46CA85F7" w14:textId="77777777" w:rsidTr="00C85B3E">
        <w:tc>
          <w:tcPr>
            <w:tcW w:w="2605" w:type="dxa"/>
            <w:shd w:val="clear" w:color="auto" w:fill="DBE5F1" w:themeFill="accent1" w:themeFillTint="33"/>
            <w:vAlign w:val="center"/>
          </w:tcPr>
          <w:p w14:paraId="1700C65D" w14:textId="4519A02B" w:rsidR="00104E72" w:rsidRPr="00604AE1" w:rsidRDefault="00104E72" w:rsidP="00104E72">
            <w:pPr>
              <w:spacing w:before="0"/>
              <w:rPr>
                <w:rFonts w:cstheme="minorHAnsi"/>
                <w:sz w:val="20"/>
                <w:szCs w:val="20"/>
              </w:rPr>
            </w:pPr>
            <w:r w:rsidRPr="00604AE1">
              <w:rPr>
                <w:rFonts w:cstheme="minorHAnsi"/>
                <w:sz w:val="20"/>
                <w:szCs w:val="20"/>
              </w:rPr>
              <w:t>Address of Project Manager(s)</w:t>
            </w:r>
          </w:p>
        </w:tc>
        <w:tc>
          <w:tcPr>
            <w:tcW w:w="6745" w:type="dxa"/>
            <w:vAlign w:val="center"/>
          </w:tcPr>
          <w:p w14:paraId="13C6A592" w14:textId="77777777" w:rsidR="00104E72" w:rsidRPr="00604AE1" w:rsidRDefault="00104E72" w:rsidP="00104E72">
            <w:pPr>
              <w:spacing w:before="0"/>
              <w:rPr>
                <w:rFonts w:cstheme="minorHAnsi"/>
                <w:sz w:val="20"/>
                <w:szCs w:val="20"/>
              </w:rPr>
            </w:pPr>
            <w:r w:rsidRPr="00604AE1">
              <w:rPr>
                <w:rFonts w:cstheme="minorHAnsi"/>
                <w:sz w:val="20"/>
                <w:szCs w:val="20"/>
              </w:rPr>
              <w:t>7600 Sand Point Way NE, Seattle, WA 98115</w:t>
            </w:r>
          </w:p>
        </w:tc>
      </w:tr>
      <w:tr w:rsidR="00104E72" w:rsidRPr="00604AE1" w14:paraId="4006D865" w14:textId="77777777" w:rsidTr="00C85B3E">
        <w:tc>
          <w:tcPr>
            <w:tcW w:w="2605" w:type="dxa"/>
            <w:shd w:val="clear" w:color="auto" w:fill="DBE5F1" w:themeFill="accent1" w:themeFillTint="33"/>
            <w:vAlign w:val="center"/>
          </w:tcPr>
          <w:p w14:paraId="628229D9" w14:textId="77777777" w:rsidR="00104E72" w:rsidRPr="00604AE1" w:rsidRDefault="00104E72" w:rsidP="00104E72">
            <w:pPr>
              <w:spacing w:before="0"/>
              <w:rPr>
                <w:rFonts w:cstheme="minorHAnsi"/>
                <w:sz w:val="20"/>
                <w:szCs w:val="20"/>
              </w:rPr>
            </w:pPr>
            <w:r w:rsidRPr="00604AE1">
              <w:rPr>
                <w:rFonts w:cstheme="minorHAnsi"/>
                <w:sz w:val="20"/>
                <w:szCs w:val="20"/>
              </w:rPr>
              <w:t>Principal Investigator(s)</w:t>
            </w:r>
          </w:p>
        </w:tc>
        <w:tc>
          <w:tcPr>
            <w:tcW w:w="6745" w:type="dxa"/>
            <w:vAlign w:val="center"/>
          </w:tcPr>
          <w:p w14:paraId="368C50DC" w14:textId="77777777" w:rsidR="00104E72" w:rsidRPr="00604AE1" w:rsidRDefault="00104E72" w:rsidP="00104E72">
            <w:pPr>
              <w:spacing w:before="0"/>
              <w:rPr>
                <w:rFonts w:cstheme="minorHAnsi"/>
                <w:sz w:val="20"/>
                <w:szCs w:val="20"/>
              </w:rPr>
            </w:pPr>
            <w:r w:rsidRPr="00604AE1">
              <w:rPr>
                <w:rFonts w:cstheme="minorHAnsi"/>
                <w:sz w:val="20"/>
                <w:szCs w:val="20"/>
              </w:rPr>
              <w:t>Anthony J. Orr, Jeffrey D. Harris, Kari A. Hirschberger, Jeffrey L. Laake, Robert L. DeLong, and Gregory S. Sanders</w:t>
            </w:r>
          </w:p>
        </w:tc>
      </w:tr>
      <w:tr w:rsidR="00104E72" w:rsidRPr="00604AE1" w14:paraId="1225D311" w14:textId="77777777" w:rsidTr="00C85B3E">
        <w:tc>
          <w:tcPr>
            <w:tcW w:w="2605" w:type="dxa"/>
            <w:shd w:val="clear" w:color="auto" w:fill="DBE5F1" w:themeFill="accent1" w:themeFillTint="33"/>
            <w:vAlign w:val="center"/>
          </w:tcPr>
          <w:p w14:paraId="61A877AD" w14:textId="77777777" w:rsidR="00104E72" w:rsidRPr="00604AE1" w:rsidRDefault="00104E72" w:rsidP="00104E72">
            <w:pPr>
              <w:spacing w:before="0"/>
              <w:rPr>
                <w:rFonts w:cstheme="minorHAnsi"/>
                <w:sz w:val="20"/>
                <w:szCs w:val="20"/>
              </w:rPr>
            </w:pPr>
            <w:r w:rsidRPr="00604AE1">
              <w:rPr>
                <w:rFonts w:cstheme="minorHAnsi"/>
                <w:sz w:val="20"/>
                <w:szCs w:val="20"/>
              </w:rPr>
              <w:t>Keywords</w:t>
            </w:r>
          </w:p>
        </w:tc>
        <w:tc>
          <w:tcPr>
            <w:tcW w:w="6745" w:type="dxa"/>
            <w:vAlign w:val="center"/>
          </w:tcPr>
          <w:p w14:paraId="170411A6" w14:textId="77777777" w:rsidR="00104E72" w:rsidRPr="00604AE1" w:rsidRDefault="00104E72" w:rsidP="00104E72">
            <w:pPr>
              <w:spacing w:before="0"/>
              <w:rPr>
                <w:rFonts w:cstheme="minorHAnsi"/>
                <w:sz w:val="20"/>
                <w:szCs w:val="20"/>
              </w:rPr>
            </w:pPr>
            <w:r w:rsidRPr="00604AE1">
              <w:rPr>
                <w:rFonts w:cstheme="minorHAnsi"/>
                <w:sz w:val="20"/>
                <w:szCs w:val="20"/>
              </w:rPr>
              <w:t xml:space="preserve">California sea lion, oil and gas platform, Pacific Outer Continental Shelf, pinniped, time-lapse camera system, </w:t>
            </w:r>
            <w:r w:rsidRPr="00604AE1">
              <w:rPr>
                <w:rFonts w:cstheme="minorHAnsi"/>
                <w:i/>
                <w:sz w:val="20"/>
                <w:szCs w:val="20"/>
              </w:rPr>
              <w:t>Zalophus californianus</w:t>
            </w:r>
          </w:p>
        </w:tc>
      </w:tr>
    </w:tbl>
    <w:p w14:paraId="501EEAC6" w14:textId="77777777" w:rsidR="00816081" w:rsidRPr="00604AE1" w:rsidRDefault="00816081" w:rsidP="00826190">
      <w:pPr>
        <w:pStyle w:val="BodyText"/>
        <w:spacing w:before="6"/>
        <w:ind w:right="220"/>
        <w:rPr>
          <w:rFonts w:asciiTheme="minorHAnsi" w:hAnsiTheme="minorHAnsi" w:cstheme="minorHAnsi"/>
          <w:b/>
        </w:rPr>
      </w:pPr>
    </w:p>
    <w:p w14:paraId="191AB0FC" w14:textId="2A97EC92" w:rsidR="00826190" w:rsidRPr="00AB6D66" w:rsidRDefault="00826190" w:rsidP="00AB6D66">
      <w:pPr>
        <w:pStyle w:val="BodyText"/>
      </w:pPr>
      <w:r w:rsidRPr="00604AE1">
        <w:rPr>
          <w:b/>
        </w:rPr>
        <w:t xml:space="preserve">ABSTRACT: </w:t>
      </w:r>
      <w:r w:rsidRPr="00604AE1">
        <w:t>Oil and gas production platforms in federal waters offshore southern California provide haulout space near foraging areas for California sea lions (</w:t>
      </w:r>
      <w:r w:rsidRPr="00604AE1">
        <w:rPr>
          <w:i/>
        </w:rPr>
        <w:t>Zalophus californianus</w:t>
      </w:r>
      <w:r w:rsidRPr="00604AE1">
        <w:t>), a species protected under the Marine Mammal Protection Act. This study was conducted to quantify sea lion use of platforms and assess their age, sex, and seasonal-use patterns over a two-year period.</w:t>
      </w:r>
      <w:r w:rsidRPr="00604AE1">
        <w:rPr>
          <w:b/>
        </w:rPr>
        <w:t xml:space="preserve"> </w:t>
      </w:r>
      <w:r w:rsidRPr="00604AE1">
        <w:t xml:space="preserve">A total of 464,174 photographs were obtained </w:t>
      </w:r>
      <w:r w:rsidRPr="00AB6D66">
        <w:t>from</w:t>
      </w:r>
      <w:r w:rsidRPr="00604AE1">
        <w:t xml:space="preserve"> all sampled platforms during this study. Although some human activities may be disruptive to resting pinnipeds, the presence of a structure on which they can rest in areas where they </w:t>
      </w:r>
      <w:proofErr w:type="gramStart"/>
      <w:r w:rsidRPr="00604AE1">
        <w:t>feed</w:t>
      </w:r>
      <w:proofErr w:type="gramEnd"/>
      <w:r w:rsidRPr="00604AE1">
        <w:t xml:space="preserve"> or forage is likely to be more beneficial than disruptive and to provide a net benefit. </w:t>
      </w:r>
    </w:p>
    <w:p w14:paraId="354A1355" w14:textId="4E7CF38B" w:rsidR="00826190" w:rsidRPr="00AB6D66" w:rsidRDefault="00826190" w:rsidP="00AB6D66">
      <w:pPr>
        <w:pStyle w:val="BodyText"/>
      </w:pPr>
      <w:r w:rsidRPr="00604AE1">
        <w:rPr>
          <w:b/>
        </w:rPr>
        <w:t xml:space="preserve">BACKGROUND: </w:t>
      </w:r>
      <w:r w:rsidRPr="00604AE1">
        <w:t>There are 23 oil and gas production platforms in federal waters offshore southern California. These platforms provide haulout space near foraging areas for California sea lions (</w:t>
      </w:r>
      <w:r w:rsidRPr="00604AE1">
        <w:rPr>
          <w:i/>
        </w:rPr>
        <w:t>Zalophus californianus</w:t>
      </w:r>
      <w:r w:rsidRPr="00604AE1">
        <w:t xml:space="preserve">), a </w:t>
      </w:r>
      <w:r w:rsidRPr="00AB6D66">
        <w:t>species</w:t>
      </w:r>
      <w:r w:rsidRPr="00604AE1">
        <w:t xml:space="preserve"> protected under the Marine Mammal Protection Act. Information on abundance, age, sex, and seasonal-use patterns of California sea lions on oil and gas platforms is useful for the environmental review of ongoing activities and the eventual removal of platforms when oil and gas </w:t>
      </w:r>
      <w:r w:rsidRPr="00604AE1">
        <w:lastRenderedPageBreak/>
        <w:t>production ceases (i.e., decommissioning). Quantitative estimates of potential harassment, injury, or mortality for future activities may be derived from data collected during this study.</w:t>
      </w:r>
    </w:p>
    <w:p w14:paraId="7477870C" w14:textId="5A5D75CC" w:rsidR="00826190" w:rsidRPr="00AB6D66" w:rsidRDefault="00826190" w:rsidP="00AB6D66">
      <w:pPr>
        <w:pStyle w:val="BodyText"/>
      </w:pPr>
      <w:r w:rsidRPr="00604AE1">
        <w:rPr>
          <w:b/>
        </w:rPr>
        <w:t xml:space="preserve">OBJECTIVES: </w:t>
      </w:r>
      <w:r w:rsidRPr="00604AE1">
        <w:t xml:space="preserve">Characterize California sea lion use of offshore oil and gas platforms in southern California. Quantify sea lion use </w:t>
      </w:r>
      <w:r w:rsidRPr="00AB6D66">
        <w:t>of</w:t>
      </w:r>
      <w:r w:rsidRPr="00604AE1">
        <w:t xml:space="preserve"> platforms and assess their age, sex, and seasonal-use patterns over a two-year period.</w:t>
      </w:r>
    </w:p>
    <w:p w14:paraId="091B1A69" w14:textId="3F632A60" w:rsidR="00826190" w:rsidRPr="00AB6D66" w:rsidRDefault="00826190" w:rsidP="00AB6D66">
      <w:pPr>
        <w:pStyle w:val="BodyText"/>
      </w:pPr>
      <w:r w:rsidRPr="00604AE1">
        <w:rPr>
          <w:b/>
        </w:rPr>
        <w:t xml:space="preserve">METHODS: </w:t>
      </w:r>
      <w:r w:rsidRPr="00604AE1">
        <w:t xml:space="preserve">Five of the 23 federal platforms offshore California were selected as focal study sites based on their geographical location and relative accessibility by sea lions. Time-lapse camera systems were deployed on these platforms from January 2013 to January 2015. Photos were taken every 30 minutes during day and night. A subsample of images was randomly selected from six-hour blocks of time throughout the day and </w:t>
      </w:r>
      <w:r w:rsidRPr="00AB6D66">
        <w:t>during</w:t>
      </w:r>
      <w:r w:rsidRPr="00604AE1">
        <w:t xml:space="preserve"> randomly selected days throughout each month. Individual sea lions were counted and identified to a particular age/sex class, when possible. Counts of animals by month and hour were conducted to examine intra-platform (temporal) and inter-platform (spatial) comparisons.</w:t>
      </w:r>
    </w:p>
    <w:p w14:paraId="3CB6F390" w14:textId="1DE6EEC8" w:rsidR="00826190" w:rsidRPr="00AB6D66" w:rsidRDefault="00826190" w:rsidP="00AB6D66">
      <w:pPr>
        <w:pStyle w:val="BodyText"/>
      </w:pPr>
      <w:r w:rsidRPr="00604AE1">
        <w:rPr>
          <w:b/>
        </w:rPr>
        <w:t xml:space="preserve">RESULTS: </w:t>
      </w:r>
      <w:r w:rsidRPr="00604AE1">
        <w:t>A total of 464,174 photographs were obtained from all sampled platforms during this study. A subsample of these photographs (n</w:t>
      </w:r>
      <w:r w:rsidRPr="00604AE1">
        <w:rPr>
          <w:position w:val="-2"/>
        </w:rPr>
        <w:t xml:space="preserve">total </w:t>
      </w:r>
      <w:r w:rsidRPr="00604AE1">
        <w:t xml:space="preserve">= 12,489, Platform Elly = 1,981, Platform Gina = 1,960, Platform Habitat = 4,742, Platform Heritage = 2,551, Platform Harvest = 1,255) was used in data analyses. There were no consistent spatial trends (e.g., south to north) in numbers of sea lions using the platforms. Platform Habitat (central) had the highest counts of sea lions; whereas Platform Gina (south) had the lowest. There were no consistent seasonal trends in numbers across all platforms. </w:t>
      </w:r>
    </w:p>
    <w:p w14:paraId="4E173EC0" w14:textId="5AE6D9EC" w:rsidR="00AB6D66" w:rsidRDefault="00826190" w:rsidP="00AB6D66">
      <w:pPr>
        <w:pStyle w:val="BodyText"/>
      </w:pPr>
      <w:r w:rsidRPr="00604AE1">
        <w:rPr>
          <w:b/>
        </w:rPr>
        <w:t xml:space="preserve">CONCLUSIONS: </w:t>
      </w:r>
      <w:r w:rsidRPr="00604AE1">
        <w:t xml:space="preserve">Offshore oil and gas platforms provide benefits to pinnipeds (especially California sea lions). Although some human activities may be disruptive to resting pinnipeds, the presence of a structure on which they can rest in areas where they </w:t>
      </w:r>
      <w:proofErr w:type="gramStart"/>
      <w:r w:rsidRPr="00604AE1">
        <w:t>feed</w:t>
      </w:r>
      <w:proofErr w:type="gramEnd"/>
      <w:r w:rsidRPr="00604AE1">
        <w:t xml:space="preserve"> or forage is likely to be more beneficial than disruptive and to provide a net benefit. The temporal and spatial variability in number of California sea lions using the platforms was pronounced for some platforms and minimal at others. Sea lions were observed on the platforms </w:t>
      </w:r>
      <w:r w:rsidRPr="00AB6D66">
        <w:t>year</w:t>
      </w:r>
      <w:r w:rsidRPr="00604AE1">
        <w:t>-round and during all hours of the day. Most of the identified animals were juveniles. Proportionally relatively few of the animals were identified to a particular age/sex class in comparison to all counted individuals. Therefore, caution should be taken when using or interpreting findings.</w:t>
      </w:r>
    </w:p>
    <w:p w14:paraId="488AA3D5" w14:textId="65431DCE" w:rsidR="00826190" w:rsidRPr="00AB6D66" w:rsidRDefault="00826190" w:rsidP="00AB6D66">
      <w:pPr>
        <w:pStyle w:val="BodyText"/>
        <w:rPr>
          <w:b/>
          <w:bCs/>
        </w:rPr>
      </w:pPr>
      <w:r w:rsidRPr="00AB6D66">
        <w:rPr>
          <w:b/>
          <w:bCs/>
        </w:rPr>
        <w:t>STUDY PRODUCT(S):</w:t>
      </w:r>
    </w:p>
    <w:p w14:paraId="0B1869E8" w14:textId="4A9A5620" w:rsidR="00826190" w:rsidRPr="00AB6D66" w:rsidRDefault="00826190" w:rsidP="00AB6D66">
      <w:pPr>
        <w:pStyle w:val="ListParagraph"/>
        <w:widowControl w:val="0"/>
        <w:numPr>
          <w:ilvl w:val="0"/>
          <w:numId w:val="2"/>
        </w:numPr>
        <w:tabs>
          <w:tab w:val="left" w:pos="841"/>
        </w:tabs>
        <w:autoSpaceDE w:val="0"/>
        <w:autoSpaceDN w:val="0"/>
        <w:spacing w:before="0"/>
        <w:ind w:right="220"/>
        <w:contextualSpacing w:val="0"/>
        <w:rPr>
          <w:rFonts w:cstheme="minorHAnsi"/>
        </w:rPr>
      </w:pPr>
      <w:r w:rsidRPr="00604AE1">
        <w:rPr>
          <w:rFonts w:cstheme="minorHAnsi"/>
          <w:b/>
          <w:bCs/>
        </w:rPr>
        <w:t>BOEM study report:</w:t>
      </w:r>
      <w:r w:rsidRPr="00604AE1">
        <w:rPr>
          <w:rFonts w:cstheme="minorHAnsi"/>
        </w:rPr>
        <w:t xml:space="preserve"> Orr</w:t>
      </w:r>
      <w:r w:rsidR="00DB60FD" w:rsidRPr="00604AE1">
        <w:rPr>
          <w:rFonts w:cstheme="minorHAnsi"/>
        </w:rPr>
        <w:t xml:space="preserve"> AJ, Harris JD, Hirschberger KA, Laake JL, DeLong RL, Sanders GS</w:t>
      </w:r>
      <w:r w:rsidRPr="00604AE1">
        <w:rPr>
          <w:rFonts w:cstheme="minorHAnsi"/>
        </w:rPr>
        <w:t>. 2016. Characterizing and quantifying California sea lion (</w:t>
      </w:r>
      <w:r w:rsidRPr="00604AE1">
        <w:rPr>
          <w:rFonts w:cstheme="minorHAnsi"/>
          <w:i/>
        </w:rPr>
        <w:t>Zalophus californianus</w:t>
      </w:r>
      <w:r w:rsidRPr="00604AE1">
        <w:rPr>
          <w:rFonts w:cstheme="minorHAnsi"/>
        </w:rPr>
        <w:t xml:space="preserve">) use of offshore oil and gas platforms in California. </w:t>
      </w:r>
      <w:r w:rsidR="00DB60FD" w:rsidRPr="00604AE1">
        <w:rPr>
          <w:rFonts w:cstheme="minorHAnsi"/>
        </w:rPr>
        <w:t xml:space="preserve">Camarillo (CA): </w:t>
      </w:r>
      <w:r w:rsidRPr="00604AE1">
        <w:rPr>
          <w:rFonts w:cstheme="minorHAnsi"/>
        </w:rPr>
        <w:t>US Department of the Interior, BOEM.</w:t>
      </w:r>
      <w:r w:rsidR="00DB60FD" w:rsidRPr="00604AE1">
        <w:rPr>
          <w:rFonts w:cstheme="minorHAnsi"/>
        </w:rPr>
        <w:t xml:space="preserve"> 36 p.</w:t>
      </w:r>
      <w:r w:rsidRPr="00604AE1">
        <w:rPr>
          <w:rFonts w:cstheme="minorHAnsi"/>
        </w:rPr>
        <w:t xml:space="preserve"> OCS Study BOEM 2016-009. </w:t>
      </w:r>
      <w:r w:rsidR="00DB60FD" w:rsidRPr="00604AE1">
        <w:rPr>
          <w:rFonts w:cstheme="minorHAnsi"/>
        </w:rPr>
        <w:t xml:space="preserve">Contract No.: </w:t>
      </w:r>
      <w:r w:rsidR="00DB60FD" w:rsidRPr="00604AE1">
        <w:rPr>
          <w:rFonts w:cstheme="minorHAnsi"/>
          <w:sz w:val="20"/>
          <w:szCs w:val="20"/>
        </w:rPr>
        <w:t>M12PG00027.</w:t>
      </w:r>
    </w:p>
    <w:p w14:paraId="42A3B183" w14:textId="77777777" w:rsidR="00826190" w:rsidRPr="00604AE1" w:rsidRDefault="00826190" w:rsidP="00826190">
      <w:pPr>
        <w:pStyle w:val="ListParagraph"/>
        <w:widowControl w:val="0"/>
        <w:numPr>
          <w:ilvl w:val="0"/>
          <w:numId w:val="2"/>
        </w:numPr>
        <w:tabs>
          <w:tab w:val="left" w:pos="840"/>
        </w:tabs>
        <w:autoSpaceDE w:val="0"/>
        <w:autoSpaceDN w:val="0"/>
        <w:spacing w:before="0"/>
        <w:ind w:right="220" w:hanging="361"/>
        <w:contextualSpacing w:val="0"/>
        <w:rPr>
          <w:rFonts w:cstheme="minorHAnsi"/>
        </w:rPr>
      </w:pPr>
      <w:r w:rsidRPr="00604AE1">
        <w:rPr>
          <w:rFonts w:cstheme="minorHAnsi"/>
          <w:b/>
          <w:bCs/>
        </w:rPr>
        <w:t xml:space="preserve">Complete photograph image library: </w:t>
      </w:r>
      <w:r w:rsidRPr="00604AE1">
        <w:rPr>
          <w:rFonts w:cstheme="minorHAnsi"/>
        </w:rPr>
        <w:t>(464,174 images) for future analyses. Copies of the digital libraries are archived in the BOEM Pacific Regional Office and NOAA’s Alaskan Fisheries Science</w:t>
      </w:r>
      <w:r w:rsidRPr="00604AE1">
        <w:rPr>
          <w:rFonts w:cstheme="minorHAnsi"/>
          <w:spacing w:val="-10"/>
        </w:rPr>
        <w:t xml:space="preserve"> </w:t>
      </w:r>
      <w:r w:rsidRPr="00604AE1">
        <w:rPr>
          <w:rFonts w:cstheme="minorHAnsi"/>
        </w:rPr>
        <w:t>Center.</w:t>
      </w:r>
    </w:p>
    <w:p w14:paraId="1CDDCC54" w14:textId="77777777" w:rsidR="00826190" w:rsidRPr="00604AE1" w:rsidRDefault="00826190" w:rsidP="00826190">
      <w:pPr>
        <w:ind w:right="220"/>
        <w:rPr>
          <w:rFonts w:cstheme="minorHAnsi"/>
        </w:rPr>
        <w:sectPr w:rsidR="00826190" w:rsidRPr="00604AE1" w:rsidSect="00BE4B67">
          <w:headerReference w:type="default" r:id="rId10"/>
          <w:footerReference w:type="default" r:id="rId11"/>
          <w:pgSz w:w="12240" w:h="15840"/>
          <w:pgMar w:top="1440" w:right="1440" w:bottom="1440" w:left="1440" w:header="630" w:footer="920" w:gutter="0"/>
          <w:pgNumType w:start="1"/>
          <w:cols w:space="720"/>
          <w:docGrid w:linePitch="299"/>
        </w:sectPr>
      </w:pPr>
    </w:p>
    <w:p w14:paraId="03F46EE9" w14:textId="77777777" w:rsidR="00826190" w:rsidRPr="00604AE1" w:rsidRDefault="00826190" w:rsidP="00826190">
      <w:pPr>
        <w:spacing w:before="1"/>
        <w:ind w:left="100" w:right="220"/>
        <w:rPr>
          <w:rFonts w:cstheme="minorHAnsi"/>
          <w:sz w:val="20"/>
          <w:szCs w:val="20"/>
        </w:rPr>
      </w:pPr>
      <w:r w:rsidRPr="00604AE1">
        <w:rPr>
          <w:rFonts w:cstheme="minorHAnsi"/>
          <w:b/>
          <w:sz w:val="20"/>
          <w:szCs w:val="20"/>
        </w:rPr>
        <w:lastRenderedPageBreak/>
        <w:t>MAP OF STUDY</w:t>
      </w:r>
      <w:r w:rsidR="00C85B3E" w:rsidRPr="00604AE1">
        <w:rPr>
          <w:rFonts w:cstheme="minorHAnsi"/>
          <w:b/>
          <w:sz w:val="20"/>
          <w:szCs w:val="20"/>
        </w:rPr>
        <w:t xml:space="preserve"> AREA: </w:t>
      </w:r>
      <w:r w:rsidRPr="00604AE1">
        <w:rPr>
          <w:rFonts w:cstheme="minorHAnsi"/>
          <w:sz w:val="20"/>
          <w:szCs w:val="20"/>
        </w:rPr>
        <w:t>Figure 2 of report OCS Study BOEM 2016-009</w:t>
      </w:r>
    </w:p>
    <w:p w14:paraId="534FA38E" w14:textId="77777777" w:rsidR="00C85B3E" w:rsidRPr="007753B5" w:rsidRDefault="00C85B3E" w:rsidP="00826190">
      <w:pPr>
        <w:spacing w:before="1"/>
        <w:ind w:left="100" w:right="220"/>
        <w:rPr>
          <w:rFonts w:ascii="Arial" w:hAnsi="Arial" w:cs="Arial"/>
          <w:sz w:val="20"/>
          <w:szCs w:val="20"/>
        </w:rPr>
      </w:pPr>
    </w:p>
    <w:p w14:paraId="3142604B" w14:textId="77777777" w:rsidR="00826190" w:rsidRPr="00995007" w:rsidRDefault="00826190" w:rsidP="00656988">
      <w:pPr>
        <w:pStyle w:val="BodyText"/>
        <w:spacing w:before="2"/>
        <w:ind w:left="180" w:right="220"/>
      </w:pPr>
      <w:r w:rsidRPr="00995007">
        <w:rPr>
          <w:noProof/>
        </w:rPr>
        <w:drawing>
          <wp:inline distT="0" distB="0" distL="0" distR="0" wp14:anchorId="63A1D4D1" wp14:editId="526E39CE">
            <wp:extent cx="3986784" cy="7726680"/>
            <wp:effectExtent l="19050" t="19050" r="13970" b="26670"/>
            <wp:docPr id="3" name="image1.png" title="Locations of gas and oil platforms located on the Pacific Outer Continental She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86784" cy="7726680"/>
                    </a:xfrm>
                    <a:prstGeom prst="rect">
                      <a:avLst/>
                    </a:prstGeom>
                    <a:ln>
                      <a:solidFill>
                        <a:schemeClr val="tx1"/>
                      </a:solidFill>
                    </a:ln>
                  </pic:spPr>
                </pic:pic>
              </a:graphicData>
            </a:graphic>
          </wp:inline>
        </w:drawing>
      </w:r>
    </w:p>
    <w:p w14:paraId="5A74F1B0" w14:textId="77777777" w:rsidR="00DF1AEB" w:rsidRDefault="00F43C8F" w:rsidP="00C85B3E">
      <w:pPr>
        <w:pStyle w:val="Heading1"/>
      </w:pPr>
      <w:r>
        <w:br w:type="column"/>
      </w:r>
      <w:r>
        <w:lastRenderedPageBreak/>
        <w:t>Technical Summary Template</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605"/>
        <w:gridCol w:w="6745"/>
      </w:tblGrid>
      <w:tr w:rsidR="00007682" w:rsidRPr="00DB60FD" w14:paraId="7452FFCB" w14:textId="77777777" w:rsidTr="00CA05EC">
        <w:tc>
          <w:tcPr>
            <w:tcW w:w="2605" w:type="dxa"/>
            <w:shd w:val="clear" w:color="auto" w:fill="DBE5F1" w:themeFill="accent1" w:themeFillTint="33"/>
            <w:vAlign w:val="center"/>
          </w:tcPr>
          <w:p w14:paraId="2E5867B7" w14:textId="77777777" w:rsidR="00007682" w:rsidRPr="00604AE1" w:rsidRDefault="00007682" w:rsidP="00CA05EC">
            <w:pPr>
              <w:spacing w:before="0"/>
              <w:rPr>
                <w:rFonts w:eastAsiaTheme="majorEastAsia" w:cstheme="minorHAnsi"/>
                <w:bCs/>
                <w:sz w:val="20"/>
                <w:szCs w:val="20"/>
              </w:rPr>
            </w:pPr>
            <w:r w:rsidRPr="00604AE1">
              <w:rPr>
                <w:rFonts w:cstheme="minorHAnsi"/>
                <w:sz w:val="20"/>
                <w:szCs w:val="20"/>
              </w:rPr>
              <w:t>Study Title</w:t>
            </w:r>
          </w:p>
        </w:tc>
        <w:tc>
          <w:tcPr>
            <w:tcW w:w="6745" w:type="dxa"/>
            <w:vAlign w:val="center"/>
          </w:tcPr>
          <w:p w14:paraId="108FB658" w14:textId="586AEFAE" w:rsidR="00007682" w:rsidRPr="00656988" w:rsidRDefault="00007682" w:rsidP="00CA05EC">
            <w:pPr>
              <w:spacing w:before="0"/>
              <w:rPr>
                <w:rFonts w:ascii="Arial" w:hAnsi="Arial" w:cs="Arial"/>
                <w:b/>
                <w:sz w:val="20"/>
                <w:szCs w:val="20"/>
              </w:rPr>
            </w:pPr>
          </w:p>
        </w:tc>
      </w:tr>
      <w:tr w:rsidR="00007682" w:rsidRPr="00DB60FD" w14:paraId="35546E5E" w14:textId="77777777" w:rsidTr="00CA05EC">
        <w:tc>
          <w:tcPr>
            <w:tcW w:w="2605" w:type="dxa"/>
            <w:shd w:val="clear" w:color="auto" w:fill="DBE5F1" w:themeFill="accent1" w:themeFillTint="33"/>
            <w:vAlign w:val="center"/>
          </w:tcPr>
          <w:p w14:paraId="2F2C06EF" w14:textId="77777777" w:rsidR="00007682" w:rsidRPr="00604AE1" w:rsidRDefault="00007682" w:rsidP="00CA05EC">
            <w:pPr>
              <w:spacing w:before="0"/>
              <w:rPr>
                <w:rFonts w:cstheme="minorHAnsi"/>
                <w:sz w:val="20"/>
                <w:szCs w:val="20"/>
              </w:rPr>
            </w:pPr>
            <w:r w:rsidRPr="00604AE1">
              <w:rPr>
                <w:rFonts w:cstheme="minorHAnsi"/>
                <w:sz w:val="20"/>
                <w:szCs w:val="20"/>
              </w:rPr>
              <w:t>Report Title</w:t>
            </w:r>
          </w:p>
        </w:tc>
        <w:tc>
          <w:tcPr>
            <w:tcW w:w="6745" w:type="dxa"/>
            <w:vAlign w:val="center"/>
          </w:tcPr>
          <w:p w14:paraId="4712BFC9" w14:textId="1979BFFA" w:rsidR="00007682" w:rsidRPr="00656988" w:rsidRDefault="00007682" w:rsidP="00CA05EC">
            <w:pPr>
              <w:spacing w:before="0"/>
              <w:rPr>
                <w:rFonts w:ascii="Arial" w:hAnsi="Arial" w:cs="Arial"/>
                <w:b/>
                <w:sz w:val="20"/>
                <w:szCs w:val="20"/>
              </w:rPr>
            </w:pPr>
          </w:p>
        </w:tc>
      </w:tr>
      <w:tr w:rsidR="00007682" w:rsidRPr="00DB60FD" w14:paraId="7D8C48FB" w14:textId="77777777" w:rsidTr="00CA05EC">
        <w:tc>
          <w:tcPr>
            <w:tcW w:w="2605" w:type="dxa"/>
            <w:shd w:val="clear" w:color="auto" w:fill="DBE5F1" w:themeFill="accent1" w:themeFillTint="33"/>
            <w:vAlign w:val="center"/>
          </w:tcPr>
          <w:p w14:paraId="031AD8A7" w14:textId="77777777" w:rsidR="00007682" w:rsidRPr="00604AE1" w:rsidRDefault="00007682" w:rsidP="00CA05EC">
            <w:pPr>
              <w:spacing w:before="0"/>
              <w:rPr>
                <w:rFonts w:cstheme="minorHAnsi"/>
                <w:sz w:val="20"/>
                <w:szCs w:val="20"/>
              </w:rPr>
            </w:pPr>
            <w:r w:rsidRPr="00604AE1">
              <w:rPr>
                <w:rFonts w:cstheme="minorHAnsi"/>
                <w:sz w:val="20"/>
                <w:szCs w:val="20"/>
              </w:rPr>
              <w:t>Report Number(s) (OCS Study)</w:t>
            </w:r>
          </w:p>
        </w:tc>
        <w:tc>
          <w:tcPr>
            <w:tcW w:w="6745" w:type="dxa"/>
            <w:vAlign w:val="center"/>
          </w:tcPr>
          <w:p w14:paraId="37F6439A" w14:textId="6EC6A485" w:rsidR="00007682" w:rsidRPr="00656988" w:rsidRDefault="00007682" w:rsidP="00CA05EC">
            <w:pPr>
              <w:spacing w:before="0"/>
              <w:rPr>
                <w:rFonts w:ascii="Arial" w:hAnsi="Arial" w:cs="Arial"/>
                <w:b/>
                <w:sz w:val="20"/>
                <w:szCs w:val="20"/>
              </w:rPr>
            </w:pPr>
          </w:p>
        </w:tc>
      </w:tr>
      <w:tr w:rsidR="00007682" w:rsidRPr="00DB60FD" w14:paraId="7478032F" w14:textId="77777777" w:rsidTr="00CA05EC">
        <w:tc>
          <w:tcPr>
            <w:tcW w:w="2605" w:type="dxa"/>
            <w:shd w:val="clear" w:color="auto" w:fill="DBE5F1" w:themeFill="accent1" w:themeFillTint="33"/>
            <w:vAlign w:val="center"/>
          </w:tcPr>
          <w:p w14:paraId="09D8B475" w14:textId="77777777" w:rsidR="00007682" w:rsidRPr="00604AE1" w:rsidRDefault="00007682" w:rsidP="00CA05EC">
            <w:pPr>
              <w:spacing w:before="0"/>
              <w:rPr>
                <w:rFonts w:cstheme="minorHAnsi"/>
                <w:sz w:val="20"/>
                <w:szCs w:val="20"/>
              </w:rPr>
            </w:pPr>
            <w:r w:rsidRPr="00604AE1">
              <w:rPr>
                <w:rFonts w:cstheme="minorHAnsi"/>
                <w:sz w:val="20"/>
                <w:szCs w:val="20"/>
              </w:rPr>
              <w:t>Completion Date of Report</w:t>
            </w:r>
          </w:p>
        </w:tc>
        <w:tc>
          <w:tcPr>
            <w:tcW w:w="6745" w:type="dxa"/>
            <w:vAlign w:val="center"/>
          </w:tcPr>
          <w:p w14:paraId="598F95F0" w14:textId="55A28630" w:rsidR="00007682" w:rsidRPr="00656988" w:rsidRDefault="00007682" w:rsidP="00CA05EC">
            <w:pPr>
              <w:spacing w:before="0"/>
              <w:rPr>
                <w:rFonts w:ascii="Arial" w:hAnsi="Arial" w:cs="Arial"/>
                <w:sz w:val="20"/>
                <w:szCs w:val="20"/>
              </w:rPr>
            </w:pPr>
          </w:p>
        </w:tc>
      </w:tr>
      <w:tr w:rsidR="00007682" w:rsidRPr="00DB60FD" w14:paraId="14A60C0B" w14:textId="77777777" w:rsidTr="00CA05EC">
        <w:tc>
          <w:tcPr>
            <w:tcW w:w="2605" w:type="dxa"/>
            <w:shd w:val="clear" w:color="auto" w:fill="DBE5F1" w:themeFill="accent1" w:themeFillTint="33"/>
            <w:vAlign w:val="center"/>
          </w:tcPr>
          <w:p w14:paraId="3B1F0A9A" w14:textId="77777777" w:rsidR="00007682" w:rsidRPr="00604AE1" w:rsidRDefault="00007682" w:rsidP="00CA05EC">
            <w:pPr>
              <w:spacing w:before="0"/>
              <w:rPr>
                <w:rFonts w:cstheme="minorHAnsi"/>
                <w:sz w:val="20"/>
                <w:szCs w:val="20"/>
              </w:rPr>
            </w:pPr>
            <w:r w:rsidRPr="00604AE1">
              <w:rPr>
                <w:rFonts w:cstheme="minorHAnsi"/>
                <w:sz w:val="20"/>
                <w:szCs w:val="20"/>
              </w:rPr>
              <w:t xml:space="preserve">Number of Pages </w:t>
            </w:r>
          </w:p>
        </w:tc>
        <w:tc>
          <w:tcPr>
            <w:tcW w:w="6745" w:type="dxa"/>
            <w:vAlign w:val="center"/>
          </w:tcPr>
          <w:p w14:paraId="30E67868" w14:textId="5702D3A6" w:rsidR="00007682" w:rsidRPr="00656988" w:rsidRDefault="00007682" w:rsidP="00CA05EC">
            <w:pPr>
              <w:spacing w:before="0"/>
              <w:rPr>
                <w:rFonts w:ascii="Arial" w:hAnsi="Arial" w:cs="Arial"/>
                <w:b/>
                <w:sz w:val="20"/>
                <w:szCs w:val="20"/>
              </w:rPr>
            </w:pPr>
          </w:p>
        </w:tc>
      </w:tr>
      <w:tr w:rsidR="00007682" w:rsidRPr="00DB60FD" w14:paraId="720315AB" w14:textId="77777777" w:rsidTr="00CA05EC">
        <w:tc>
          <w:tcPr>
            <w:tcW w:w="2605" w:type="dxa"/>
            <w:shd w:val="clear" w:color="auto" w:fill="DBE5F1" w:themeFill="accent1" w:themeFillTint="33"/>
            <w:vAlign w:val="center"/>
          </w:tcPr>
          <w:p w14:paraId="4128C8CE" w14:textId="77777777" w:rsidR="00007682" w:rsidRPr="00604AE1" w:rsidRDefault="00007682" w:rsidP="00CA05EC">
            <w:pPr>
              <w:spacing w:before="0"/>
              <w:rPr>
                <w:rFonts w:cstheme="minorHAnsi"/>
                <w:sz w:val="20"/>
                <w:szCs w:val="20"/>
              </w:rPr>
            </w:pPr>
            <w:r w:rsidRPr="00604AE1">
              <w:rPr>
                <w:rFonts w:cstheme="minorHAnsi"/>
                <w:sz w:val="20"/>
                <w:szCs w:val="20"/>
              </w:rPr>
              <w:t>Award Number(s)</w:t>
            </w:r>
          </w:p>
        </w:tc>
        <w:tc>
          <w:tcPr>
            <w:tcW w:w="6745" w:type="dxa"/>
            <w:vAlign w:val="center"/>
          </w:tcPr>
          <w:p w14:paraId="54AC5343" w14:textId="227E7CF2" w:rsidR="00007682" w:rsidRPr="00656988" w:rsidRDefault="00007682" w:rsidP="00CA05EC">
            <w:pPr>
              <w:spacing w:before="0"/>
              <w:rPr>
                <w:rFonts w:ascii="Arial" w:hAnsi="Arial" w:cs="Arial"/>
                <w:sz w:val="20"/>
                <w:szCs w:val="20"/>
              </w:rPr>
            </w:pPr>
          </w:p>
        </w:tc>
      </w:tr>
      <w:tr w:rsidR="00007682" w:rsidRPr="00DB60FD" w14:paraId="1DA3FFB4" w14:textId="77777777" w:rsidTr="00CA05EC">
        <w:tc>
          <w:tcPr>
            <w:tcW w:w="2605" w:type="dxa"/>
            <w:shd w:val="clear" w:color="auto" w:fill="DBE5F1" w:themeFill="accent1" w:themeFillTint="33"/>
            <w:vAlign w:val="center"/>
          </w:tcPr>
          <w:p w14:paraId="7B632346" w14:textId="77777777" w:rsidR="00007682" w:rsidRPr="00604AE1" w:rsidRDefault="00007682" w:rsidP="00CA05EC">
            <w:pPr>
              <w:spacing w:before="0"/>
              <w:rPr>
                <w:rFonts w:cstheme="minorHAnsi"/>
                <w:sz w:val="20"/>
                <w:szCs w:val="20"/>
              </w:rPr>
            </w:pPr>
            <w:r w:rsidRPr="00604AE1">
              <w:rPr>
                <w:rFonts w:cstheme="minorHAnsi"/>
                <w:sz w:val="20"/>
                <w:szCs w:val="20"/>
              </w:rPr>
              <w:t>Sponsoring OCS Region or Office</w:t>
            </w:r>
          </w:p>
        </w:tc>
        <w:tc>
          <w:tcPr>
            <w:tcW w:w="6745" w:type="dxa"/>
            <w:vAlign w:val="center"/>
          </w:tcPr>
          <w:p w14:paraId="254D32D6" w14:textId="698C0A22" w:rsidR="00007682" w:rsidRPr="00656988" w:rsidRDefault="00007682" w:rsidP="00CA05EC">
            <w:pPr>
              <w:spacing w:before="0"/>
              <w:rPr>
                <w:rFonts w:ascii="Arial" w:hAnsi="Arial" w:cs="Arial"/>
                <w:sz w:val="20"/>
                <w:szCs w:val="20"/>
              </w:rPr>
            </w:pPr>
          </w:p>
        </w:tc>
      </w:tr>
      <w:tr w:rsidR="00007682" w:rsidRPr="00DB60FD" w14:paraId="1E01944E" w14:textId="77777777" w:rsidTr="00CA05EC">
        <w:tc>
          <w:tcPr>
            <w:tcW w:w="2605" w:type="dxa"/>
            <w:shd w:val="clear" w:color="auto" w:fill="DBE5F1" w:themeFill="accent1" w:themeFillTint="33"/>
            <w:vAlign w:val="center"/>
          </w:tcPr>
          <w:p w14:paraId="37956C91" w14:textId="77777777" w:rsidR="00007682" w:rsidRPr="00604AE1" w:rsidRDefault="00007682" w:rsidP="00CA05EC">
            <w:pPr>
              <w:spacing w:before="0"/>
              <w:rPr>
                <w:rFonts w:cstheme="minorHAnsi"/>
                <w:sz w:val="20"/>
                <w:szCs w:val="20"/>
              </w:rPr>
            </w:pPr>
            <w:r w:rsidRPr="00604AE1">
              <w:rPr>
                <w:rFonts w:cstheme="minorHAnsi"/>
                <w:sz w:val="20"/>
                <w:szCs w:val="20"/>
              </w:rPr>
              <w:t>Applicable Planning Area(s)</w:t>
            </w:r>
          </w:p>
        </w:tc>
        <w:tc>
          <w:tcPr>
            <w:tcW w:w="6745" w:type="dxa"/>
            <w:vAlign w:val="center"/>
          </w:tcPr>
          <w:p w14:paraId="7A72B7C9" w14:textId="3C6D995C" w:rsidR="00007682" w:rsidRPr="00656988" w:rsidRDefault="00007682" w:rsidP="00CA05EC">
            <w:pPr>
              <w:spacing w:before="0"/>
              <w:rPr>
                <w:rFonts w:ascii="Arial" w:hAnsi="Arial" w:cs="Arial"/>
                <w:sz w:val="20"/>
                <w:szCs w:val="20"/>
              </w:rPr>
            </w:pPr>
          </w:p>
        </w:tc>
      </w:tr>
      <w:tr w:rsidR="00007682" w:rsidRPr="00DB60FD" w14:paraId="712006B1" w14:textId="77777777" w:rsidTr="00CA05EC">
        <w:tc>
          <w:tcPr>
            <w:tcW w:w="2605" w:type="dxa"/>
            <w:shd w:val="clear" w:color="auto" w:fill="DBE5F1" w:themeFill="accent1" w:themeFillTint="33"/>
            <w:vAlign w:val="center"/>
          </w:tcPr>
          <w:p w14:paraId="3DA33899" w14:textId="77777777" w:rsidR="00007682" w:rsidRPr="00604AE1" w:rsidRDefault="00007682" w:rsidP="00CA05EC">
            <w:pPr>
              <w:spacing w:before="0"/>
              <w:rPr>
                <w:rFonts w:cstheme="minorHAnsi"/>
                <w:sz w:val="20"/>
                <w:szCs w:val="20"/>
              </w:rPr>
            </w:pPr>
            <w:r w:rsidRPr="00604AE1">
              <w:rPr>
                <w:rFonts w:cstheme="minorHAnsi"/>
                <w:sz w:val="20"/>
                <w:szCs w:val="20"/>
              </w:rPr>
              <w:t>Fiscal Year(s) of Study Funding</w:t>
            </w:r>
          </w:p>
        </w:tc>
        <w:tc>
          <w:tcPr>
            <w:tcW w:w="6745" w:type="dxa"/>
            <w:vAlign w:val="center"/>
          </w:tcPr>
          <w:p w14:paraId="39BF0B44" w14:textId="53A1448C" w:rsidR="00007682" w:rsidRPr="00656988" w:rsidRDefault="00007682" w:rsidP="00CA05EC">
            <w:pPr>
              <w:spacing w:before="0"/>
              <w:rPr>
                <w:rFonts w:ascii="Arial" w:hAnsi="Arial" w:cs="Arial"/>
                <w:sz w:val="20"/>
                <w:szCs w:val="20"/>
              </w:rPr>
            </w:pPr>
          </w:p>
        </w:tc>
      </w:tr>
      <w:tr w:rsidR="00007682" w:rsidRPr="00DB60FD" w14:paraId="777F1BAF" w14:textId="77777777" w:rsidTr="00CA05EC">
        <w:tc>
          <w:tcPr>
            <w:tcW w:w="2605" w:type="dxa"/>
            <w:shd w:val="clear" w:color="auto" w:fill="DBE5F1" w:themeFill="accent1" w:themeFillTint="33"/>
            <w:vAlign w:val="center"/>
          </w:tcPr>
          <w:p w14:paraId="74ADB014" w14:textId="77777777" w:rsidR="00007682" w:rsidRPr="00604AE1" w:rsidRDefault="00007682" w:rsidP="00CA05EC">
            <w:pPr>
              <w:spacing w:before="0"/>
              <w:rPr>
                <w:rFonts w:cstheme="minorHAnsi"/>
                <w:sz w:val="20"/>
                <w:szCs w:val="20"/>
              </w:rPr>
            </w:pPr>
            <w:r w:rsidRPr="00604AE1">
              <w:rPr>
                <w:rFonts w:cstheme="minorHAnsi"/>
                <w:sz w:val="20"/>
                <w:szCs w:val="20"/>
              </w:rPr>
              <w:t>Costs by Fiscal Year</w:t>
            </w:r>
          </w:p>
        </w:tc>
        <w:tc>
          <w:tcPr>
            <w:tcW w:w="6745" w:type="dxa"/>
            <w:vAlign w:val="center"/>
          </w:tcPr>
          <w:p w14:paraId="4648F22A" w14:textId="6CCF9ECD" w:rsidR="00007682" w:rsidRPr="00656988" w:rsidRDefault="00007682" w:rsidP="00CA05EC">
            <w:pPr>
              <w:spacing w:before="0"/>
              <w:rPr>
                <w:rFonts w:ascii="Arial" w:hAnsi="Arial" w:cs="Arial"/>
                <w:sz w:val="20"/>
                <w:szCs w:val="20"/>
              </w:rPr>
            </w:pPr>
          </w:p>
        </w:tc>
      </w:tr>
      <w:tr w:rsidR="00007682" w:rsidRPr="00DB60FD" w14:paraId="372970E5" w14:textId="77777777" w:rsidTr="00CA05EC">
        <w:tc>
          <w:tcPr>
            <w:tcW w:w="2605" w:type="dxa"/>
            <w:shd w:val="clear" w:color="auto" w:fill="DBE5F1" w:themeFill="accent1" w:themeFillTint="33"/>
            <w:vAlign w:val="center"/>
          </w:tcPr>
          <w:p w14:paraId="6255EE06" w14:textId="77777777" w:rsidR="00007682" w:rsidRPr="00604AE1" w:rsidRDefault="00007682" w:rsidP="00CA05EC">
            <w:pPr>
              <w:spacing w:before="0"/>
              <w:rPr>
                <w:rFonts w:cstheme="minorHAnsi"/>
                <w:sz w:val="20"/>
                <w:szCs w:val="20"/>
              </w:rPr>
            </w:pPr>
            <w:r w:rsidRPr="00604AE1">
              <w:rPr>
                <w:rFonts w:cstheme="minorHAnsi"/>
                <w:sz w:val="20"/>
                <w:szCs w:val="20"/>
              </w:rPr>
              <w:t>Cumulative Project Cost</w:t>
            </w:r>
          </w:p>
        </w:tc>
        <w:tc>
          <w:tcPr>
            <w:tcW w:w="6745" w:type="dxa"/>
            <w:vAlign w:val="center"/>
          </w:tcPr>
          <w:p w14:paraId="15995A49" w14:textId="740C068C" w:rsidR="00007682" w:rsidRPr="00656988" w:rsidRDefault="00007682" w:rsidP="00CA05EC">
            <w:pPr>
              <w:spacing w:before="0"/>
              <w:rPr>
                <w:rFonts w:ascii="Arial" w:hAnsi="Arial" w:cs="Arial"/>
                <w:sz w:val="20"/>
                <w:szCs w:val="20"/>
              </w:rPr>
            </w:pPr>
          </w:p>
        </w:tc>
      </w:tr>
      <w:tr w:rsidR="00007682" w:rsidRPr="00DB60FD" w14:paraId="2A5C9A60" w14:textId="77777777" w:rsidTr="00CA05EC">
        <w:tc>
          <w:tcPr>
            <w:tcW w:w="2605" w:type="dxa"/>
            <w:shd w:val="clear" w:color="auto" w:fill="DBE5F1" w:themeFill="accent1" w:themeFillTint="33"/>
            <w:vAlign w:val="center"/>
          </w:tcPr>
          <w:p w14:paraId="4BDCDAE1" w14:textId="77777777" w:rsidR="00007682" w:rsidRPr="00604AE1" w:rsidRDefault="00007682" w:rsidP="00CA05EC">
            <w:pPr>
              <w:spacing w:before="0"/>
              <w:rPr>
                <w:rFonts w:cstheme="minorHAnsi"/>
                <w:sz w:val="20"/>
                <w:szCs w:val="20"/>
              </w:rPr>
            </w:pPr>
            <w:r w:rsidRPr="00604AE1">
              <w:rPr>
                <w:rFonts w:cstheme="minorHAnsi"/>
                <w:sz w:val="20"/>
                <w:szCs w:val="20"/>
              </w:rPr>
              <w:t>Project Manager(s)</w:t>
            </w:r>
          </w:p>
        </w:tc>
        <w:tc>
          <w:tcPr>
            <w:tcW w:w="6745" w:type="dxa"/>
            <w:vAlign w:val="center"/>
          </w:tcPr>
          <w:p w14:paraId="72C5D3D5" w14:textId="0C640E3E" w:rsidR="00007682" w:rsidRPr="00656988" w:rsidRDefault="00007682" w:rsidP="00CA05EC">
            <w:pPr>
              <w:spacing w:before="0"/>
              <w:rPr>
                <w:rFonts w:ascii="Arial" w:hAnsi="Arial" w:cs="Arial"/>
                <w:sz w:val="20"/>
                <w:szCs w:val="20"/>
              </w:rPr>
            </w:pPr>
          </w:p>
        </w:tc>
      </w:tr>
      <w:tr w:rsidR="00007682" w:rsidRPr="00DB60FD" w14:paraId="0E967F7E" w14:textId="77777777" w:rsidTr="00CA05EC">
        <w:tc>
          <w:tcPr>
            <w:tcW w:w="2605" w:type="dxa"/>
            <w:shd w:val="clear" w:color="auto" w:fill="DBE5F1" w:themeFill="accent1" w:themeFillTint="33"/>
            <w:vAlign w:val="center"/>
          </w:tcPr>
          <w:p w14:paraId="3D9B226D" w14:textId="77777777" w:rsidR="00007682" w:rsidRPr="00604AE1" w:rsidRDefault="00007682" w:rsidP="00CA05EC">
            <w:pPr>
              <w:spacing w:before="0"/>
              <w:rPr>
                <w:rFonts w:cstheme="minorHAnsi"/>
                <w:sz w:val="20"/>
                <w:szCs w:val="20"/>
              </w:rPr>
            </w:pPr>
            <w:r w:rsidRPr="00604AE1">
              <w:rPr>
                <w:rFonts w:cstheme="minorHAnsi"/>
                <w:sz w:val="20"/>
                <w:szCs w:val="20"/>
              </w:rPr>
              <w:t>Affiliation of Project Manager(s)</w:t>
            </w:r>
          </w:p>
        </w:tc>
        <w:tc>
          <w:tcPr>
            <w:tcW w:w="6745" w:type="dxa"/>
            <w:vAlign w:val="center"/>
          </w:tcPr>
          <w:p w14:paraId="0384895E" w14:textId="75830ADB" w:rsidR="00007682" w:rsidRPr="00656988" w:rsidRDefault="00007682" w:rsidP="00CA05EC">
            <w:pPr>
              <w:spacing w:before="0"/>
              <w:rPr>
                <w:rFonts w:ascii="Arial" w:hAnsi="Arial" w:cs="Arial"/>
                <w:sz w:val="20"/>
                <w:szCs w:val="20"/>
              </w:rPr>
            </w:pPr>
          </w:p>
        </w:tc>
      </w:tr>
      <w:tr w:rsidR="00007682" w:rsidRPr="00DB60FD" w14:paraId="3233BBC4" w14:textId="77777777" w:rsidTr="00CA05EC">
        <w:tc>
          <w:tcPr>
            <w:tcW w:w="2605" w:type="dxa"/>
            <w:shd w:val="clear" w:color="auto" w:fill="DBE5F1" w:themeFill="accent1" w:themeFillTint="33"/>
            <w:vAlign w:val="center"/>
          </w:tcPr>
          <w:p w14:paraId="3EA5BBEC" w14:textId="77777777" w:rsidR="00007682" w:rsidRPr="00604AE1" w:rsidRDefault="00007682" w:rsidP="00CA05EC">
            <w:pPr>
              <w:spacing w:before="0"/>
              <w:rPr>
                <w:rFonts w:cstheme="minorHAnsi"/>
                <w:sz w:val="20"/>
                <w:szCs w:val="20"/>
              </w:rPr>
            </w:pPr>
            <w:r w:rsidRPr="00604AE1">
              <w:rPr>
                <w:rFonts w:cstheme="minorHAnsi"/>
                <w:sz w:val="20"/>
                <w:szCs w:val="20"/>
              </w:rPr>
              <w:t>Address of Project Manager(s)</w:t>
            </w:r>
          </w:p>
        </w:tc>
        <w:tc>
          <w:tcPr>
            <w:tcW w:w="6745" w:type="dxa"/>
            <w:vAlign w:val="center"/>
          </w:tcPr>
          <w:p w14:paraId="77271A95" w14:textId="3F446573" w:rsidR="00007682" w:rsidRPr="00656988" w:rsidRDefault="00007682" w:rsidP="00CA05EC">
            <w:pPr>
              <w:spacing w:before="0"/>
              <w:rPr>
                <w:rFonts w:ascii="Arial" w:hAnsi="Arial" w:cs="Arial"/>
                <w:sz w:val="20"/>
                <w:szCs w:val="20"/>
              </w:rPr>
            </w:pPr>
          </w:p>
        </w:tc>
      </w:tr>
      <w:tr w:rsidR="00007682" w:rsidRPr="00DB60FD" w14:paraId="43B62A74" w14:textId="77777777" w:rsidTr="00CA05EC">
        <w:tc>
          <w:tcPr>
            <w:tcW w:w="2605" w:type="dxa"/>
            <w:shd w:val="clear" w:color="auto" w:fill="DBE5F1" w:themeFill="accent1" w:themeFillTint="33"/>
            <w:vAlign w:val="center"/>
          </w:tcPr>
          <w:p w14:paraId="05B72EF0" w14:textId="77777777" w:rsidR="00007682" w:rsidRPr="00604AE1" w:rsidRDefault="00007682" w:rsidP="00CA05EC">
            <w:pPr>
              <w:spacing w:before="0"/>
              <w:rPr>
                <w:rFonts w:cstheme="minorHAnsi"/>
                <w:sz w:val="20"/>
                <w:szCs w:val="20"/>
              </w:rPr>
            </w:pPr>
            <w:r w:rsidRPr="00604AE1">
              <w:rPr>
                <w:rFonts w:cstheme="minorHAnsi"/>
                <w:sz w:val="20"/>
                <w:szCs w:val="20"/>
              </w:rPr>
              <w:t>Principal Investigator(s)</w:t>
            </w:r>
          </w:p>
        </w:tc>
        <w:tc>
          <w:tcPr>
            <w:tcW w:w="6745" w:type="dxa"/>
            <w:vAlign w:val="center"/>
          </w:tcPr>
          <w:p w14:paraId="5F9073C5" w14:textId="3DF4CA37" w:rsidR="00007682" w:rsidRPr="00656988" w:rsidRDefault="00007682" w:rsidP="00CA05EC">
            <w:pPr>
              <w:spacing w:before="0"/>
              <w:rPr>
                <w:rFonts w:ascii="Arial" w:hAnsi="Arial" w:cs="Arial"/>
                <w:sz w:val="20"/>
                <w:szCs w:val="20"/>
              </w:rPr>
            </w:pPr>
          </w:p>
        </w:tc>
      </w:tr>
      <w:tr w:rsidR="00007682" w:rsidRPr="00DB60FD" w14:paraId="308E2695" w14:textId="77777777" w:rsidTr="00CA05EC">
        <w:tc>
          <w:tcPr>
            <w:tcW w:w="2605" w:type="dxa"/>
            <w:shd w:val="clear" w:color="auto" w:fill="DBE5F1" w:themeFill="accent1" w:themeFillTint="33"/>
            <w:vAlign w:val="center"/>
          </w:tcPr>
          <w:p w14:paraId="3E876E78" w14:textId="77777777" w:rsidR="00007682" w:rsidRPr="00604AE1" w:rsidRDefault="00007682" w:rsidP="00CA05EC">
            <w:pPr>
              <w:spacing w:before="0"/>
              <w:rPr>
                <w:rFonts w:cstheme="minorHAnsi"/>
                <w:sz w:val="20"/>
                <w:szCs w:val="20"/>
              </w:rPr>
            </w:pPr>
            <w:r w:rsidRPr="00604AE1">
              <w:rPr>
                <w:rFonts w:cstheme="minorHAnsi"/>
                <w:sz w:val="20"/>
                <w:szCs w:val="20"/>
              </w:rPr>
              <w:t>Keywords</w:t>
            </w:r>
          </w:p>
        </w:tc>
        <w:tc>
          <w:tcPr>
            <w:tcW w:w="6745" w:type="dxa"/>
            <w:vAlign w:val="center"/>
          </w:tcPr>
          <w:p w14:paraId="6CA5D2A0" w14:textId="72FE66DC" w:rsidR="00007682" w:rsidRPr="00656988" w:rsidRDefault="00007682" w:rsidP="00CA05EC">
            <w:pPr>
              <w:spacing w:before="0"/>
              <w:rPr>
                <w:rFonts w:ascii="Arial" w:hAnsi="Arial" w:cs="Arial"/>
                <w:sz w:val="20"/>
                <w:szCs w:val="20"/>
              </w:rPr>
            </w:pPr>
          </w:p>
        </w:tc>
      </w:tr>
    </w:tbl>
    <w:p w14:paraId="65DF082A" w14:textId="6D07784B" w:rsidR="00CC5E87" w:rsidRPr="00604AE1" w:rsidRDefault="00C85B3E" w:rsidP="00CC5E87">
      <w:pPr>
        <w:pStyle w:val="BodyText"/>
        <w:spacing w:before="240"/>
        <w:rPr>
          <w:rFonts w:asciiTheme="minorHAnsi" w:hAnsiTheme="minorHAnsi" w:cstheme="minorHAnsi"/>
        </w:rPr>
      </w:pPr>
      <w:r w:rsidRPr="00604AE1">
        <w:rPr>
          <w:rFonts w:asciiTheme="minorHAnsi" w:hAnsiTheme="minorHAnsi" w:cstheme="minorHAnsi"/>
          <w:b/>
        </w:rPr>
        <w:t xml:space="preserve">ABSTRACT: </w:t>
      </w:r>
      <w:r w:rsidR="00A14AEE" w:rsidRPr="00604AE1">
        <w:rPr>
          <w:rFonts w:asciiTheme="minorHAnsi" w:hAnsiTheme="minorHAnsi" w:cstheme="minorHAnsi"/>
          <w:bCs/>
        </w:rPr>
        <w:t>[Brief summary of study]</w:t>
      </w:r>
    </w:p>
    <w:p w14:paraId="3849211A" w14:textId="5515E72F" w:rsidR="00CC5E87" w:rsidRPr="00604AE1" w:rsidRDefault="00C85B3E" w:rsidP="00CC5E87">
      <w:pPr>
        <w:pStyle w:val="BodyText"/>
        <w:spacing w:before="240"/>
        <w:rPr>
          <w:rFonts w:asciiTheme="minorHAnsi" w:hAnsiTheme="minorHAnsi" w:cstheme="minorHAnsi"/>
        </w:rPr>
      </w:pPr>
      <w:r w:rsidRPr="00604AE1">
        <w:rPr>
          <w:rFonts w:asciiTheme="minorHAnsi" w:hAnsiTheme="minorHAnsi" w:cstheme="minorHAnsi"/>
          <w:b/>
        </w:rPr>
        <w:t xml:space="preserve">BACKGROUND: </w:t>
      </w:r>
      <w:r w:rsidR="00A14AEE" w:rsidRPr="00604AE1">
        <w:rPr>
          <w:rFonts w:asciiTheme="minorHAnsi" w:hAnsiTheme="minorHAnsi" w:cstheme="minorHAnsi"/>
        </w:rPr>
        <w:t>[</w:t>
      </w:r>
      <w:r w:rsidR="004F6486" w:rsidRPr="00604AE1">
        <w:rPr>
          <w:rFonts w:asciiTheme="minorHAnsi" w:hAnsiTheme="minorHAnsi" w:cstheme="minorHAnsi"/>
        </w:rPr>
        <w:t>Provide a brief c</w:t>
      </w:r>
      <w:r w:rsidR="00A14AEE" w:rsidRPr="00604AE1">
        <w:rPr>
          <w:rFonts w:asciiTheme="minorHAnsi" w:hAnsiTheme="minorHAnsi" w:cstheme="minorHAnsi"/>
        </w:rPr>
        <w:t>ontext for the study. Note whether the study ties into, or builds off, other efforts.]</w:t>
      </w:r>
    </w:p>
    <w:p w14:paraId="6887C739" w14:textId="05455D58" w:rsidR="00CC5E87" w:rsidRPr="00604AE1" w:rsidRDefault="00C85B3E" w:rsidP="00CC5E87">
      <w:pPr>
        <w:pStyle w:val="BodyText"/>
        <w:spacing w:before="240"/>
        <w:rPr>
          <w:rFonts w:asciiTheme="minorHAnsi" w:hAnsiTheme="minorHAnsi" w:cstheme="minorHAnsi"/>
        </w:rPr>
      </w:pPr>
      <w:r w:rsidRPr="00604AE1">
        <w:rPr>
          <w:rFonts w:asciiTheme="minorHAnsi" w:hAnsiTheme="minorHAnsi" w:cstheme="minorHAnsi"/>
          <w:b/>
        </w:rPr>
        <w:t xml:space="preserve">OBJECTIVES: </w:t>
      </w:r>
      <w:r w:rsidR="00A14AEE" w:rsidRPr="00604AE1">
        <w:rPr>
          <w:rFonts w:asciiTheme="minorHAnsi" w:hAnsiTheme="minorHAnsi" w:cstheme="minorHAnsi"/>
          <w:bCs/>
        </w:rPr>
        <w:t>[</w:t>
      </w:r>
      <w:r w:rsidR="00A14AEE" w:rsidRPr="00604AE1">
        <w:rPr>
          <w:rFonts w:asciiTheme="minorHAnsi" w:hAnsiTheme="minorHAnsi" w:cstheme="minorHAnsi"/>
        </w:rPr>
        <w:t>Clearly and succinctly state the overall purpose of the study. If there is more than one objective, use a list.]</w:t>
      </w:r>
    </w:p>
    <w:p w14:paraId="3BF2BB4F" w14:textId="40C07DEB" w:rsidR="00CC5E87" w:rsidRPr="00604AE1" w:rsidRDefault="00C85B3E" w:rsidP="00CC5E87">
      <w:pPr>
        <w:pStyle w:val="BodyText"/>
        <w:spacing w:before="240"/>
        <w:rPr>
          <w:rFonts w:asciiTheme="minorHAnsi" w:hAnsiTheme="minorHAnsi" w:cstheme="minorHAnsi"/>
        </w:rPr>
      </w:pPr>
      <w:r w:rsidRPr="00604AE1">
        <w:rPr>
          <w:rFonts w:asciiTheme="minorHAnsi" w:hAnsiTheme="minorHAnsi" w:cstheme="minorHAnsi"/>
          <w:b/>
        </w:rPr>
        <w:t xml:space="preserve">METHODS: </w:t>
      </w:r>
      <w:r w:rsidR="004F6486" w:rsidRPr="00604AE1">
        <w:rPr>
          <w:rFonts w:asciiTheme="minorHAnsi" w:hAnsiTheme="minorHAnsi" w:cstheme="minorHAnsi"/>
        </w:rPr>
        <w:t>[Briefly describe the methods used.]</w:t>
      </w:r>
    </w:p>
    <w:p w14:paraId="6A08AB3A" w14:textId="0EA2B3FD" w:rsidR="00CC5E87" w:rsidRPr="00604AE1" w:rsidRDefault="00C85B3E" w:rsidP="00CC5E87">
      <w:pPr>
        <w:pStyle w:val="BodyText"/>
        <w:spacing w:before="240"/>
        <w:rPr>
          <w:rFonts w:asciiTheme="minorHAnsi" w:hAnsiTheme="minorHAnsi" w:cstheme="minorHAnsi"/>
        </w:rPr>
      </w:pPr>
      <w:r w:rsidRPr="00604AE1">
        <w:rPr>
          <w:rFonts w:asciiTheme="minorHAnsi" w:hAnsiTheme="minorHAnsi" w:cstheme="minorHAnsi"/>
          <w:b/>
        </w:rPr>
        <w:t xml:space="preserve">RESULTS: </w:t>
      </w:r>
      <w:r w:rsidR="004F6486" w:rsidRPr="00604AE1">
        <w:rPr>
          <w:rFonts w:asciiTheme="minorHAnsi" w:hAnsiTheme="minorHAnsi" w:cstheme="minorHAnsi"/>
        </w:rPr>
        <w:t>[Briefly explain the results. Where appropriate, tie the results to the objectives of the study.]</w:t>
      </w:r>
    </w:p>
    <w:p w14:paraId="699DAEA1" w14:textId="13F77A08" w:rsidR="00CC5E87" w:rsidRPr="00604AE1" w:rsidRDefault="00C85B3E" w:rsidP="00CC5E87">
      <w:pPr>
        <w:pStyle w:val="BodyText"/>
        <w:spacing w:before="240"/>
        <w:rPr>
          <w:rFonts w:asciiTheme="minorHAnsi" w:hAnsiTheme="minorHAnsi" w:cstheme="minorHAnsi"/>
        </w:rPr>
      </w:pPr>
      <w:r w:rsidRPr="00604AE1">
        <w:rPr>
          <w:rFonts w:asciiTheme="minorHAnsi" w:hAnsiTheme="minorHAnsi" w:cstheme="minorHAnsi"/>
          <w:b/>
        </w:rPr>
        <w:t xml:space="preserve">CONCLUSIONS: </w:t>
      </w:r>
      <w:r w:rsidR="00770D88" w:rsidRPr="00604AE1">
        <w:rPr>
          <w:rFonts w:asciiTheme="minorHAnsi" w:hAnsiTheme="minorHAnsi" w:cstheme="minorHAnsi"/>
        </w:rPr>
        <w:t>[Provide a concise conclusion for the study.]</w:t>
      </w:r>
    </w:p>
    <w:p w14:paraId="6141392B" w14:textId="347FCD6C" w:rsidR="00F43C8F" w:rsidRPr="00604AE1" w:rsidRDefault="00C85B3E" w:rsidP="00CC5E87">
      <w:pPr>
        <w:pStyle w:val="BodyText"/>
        <w:spacing w:before="240"/>
        <w:rPr>
          <w:rFonts w:asciiTheme="minorHAnsi" w:hAnsiTheme="minorHAnsi" w:cstheme="minorHAnsi"/>
        </w:rPr>
      </w:pPr>
      <w:r w:rsidRPr="00604AE1">
        <w:rPr>
          <w:rFonts w:asciiTheme="minorHAnsi" w:hAnsiTheme="minorHAnsi" w:cstheme="minorHAnsi"/>
          <w:b/>
        </w:rPr>
        <w:t xml:space="preserve">STUDY PRODUCT(S): </w:t>
      </w:r>
      <w:r w:rsidR="00770D88" w:rsidRPr="00604AE1">
        <w:rPr>
          <w:rFonts w:asciiTheme="minorHAnsi" w:hAnsiTheme="minorHAnsi" w:cstheme="minorHAnsi"/>
        </w:rPr>
        <w:t>[List all study products (e.g., reports, publications, datasets, websites, educational resources).]</w:t>
      </w:r>
    </w:p>
    <w:p w14:paraId="1E3B08EE" w14:textId="3F751D0D" w:rsidR="00C85B3E" w:rsidRPr="00604AE1" w:rsidRDefault="00C85B3E" w:rsidP="00C85B3E">
      <w:pPr>
        <w:pStyle w:val="Normalsanserif"/>
        <w:rPr>
          <w:rFonts w:asciiTheme="minorHAnsi" w:hAnsiTheme="minorHAnsi" w:cstheme="minorHAnsi"/>
          <w:b/>
        </w:rPr>
      </w:pPr>
      <w:r w:rsidRPr="00604AE1">
        <w:rPr>
          <w:rFonts w:asciiTheme="minorHAnsi" w:hAnsiTheme="minorHAnsi" w:cstheme="minorHAnsi"/>
          <w:b/>
        </w:rPr>
        <w:t xml:space="preserve">MAP OF STUDY AREA: </w:t>
      </w:r>
      <w:r w:rsidR="00604AE1" w:rsidRPr="00604AE1">
        <w:rPr>
          <w:rFonts w:asciiTheme="minorHAnsi" w:hAnsiTheme="minorHAnsi" w:cstheme="minorHAnsi"/>
          <w:bCs/>
        </w:rPr>
        <w:t>[Insert map</w:t>
      </w:r>
      <w:r w:rsidR="00040490">
        <w:rPr>
          <w:rFonts w:asciiTheme="minorHAnsi" w:hAnsiTheme="minorHAnsi" w:cstheme="minorHAnsi"/>
          <w:bCs/>
        </w:rPr>
        <w:t xml:space="preserve"> graphic and note</w:t>
      </w:r>
      <w:r w:rsidR="00604AE1" w:rsidRPr="00604AE1">
        <w:rPr>
          <w:rFonts w:asciiTheme="minorHAnsi" w:hAnsiTheme="minorHAnsi" w:cstheme="minorHAnsi"/>
          <w:bCs/>
        </w:rPr>
        <w:t xml:space="preserve"> </w:t>
      </w:r>
      <w:r w:rsidR="00040490">
        <w:rPr>
          <w:rFonts w:asciiTheme="minorHAnsi" w:hAnsiTheme="minorHAnsi" w:cstheme="minorHAnsi"/>
          <w:bCs/>
        </w:rPr>
        <w:t>figure and report number.</w:t>
      </w:r>
      <w:r w:rsidR="00604AE1" w:rsidRPr="00604AE1">
        <w:rPr>
          <w:rFonts w:asciiTheme="minorHAnsi" w:hAnsiTheme="minorHAnsi" w:cstheme="minorHAnsi"/>
          <w:bCs/>
        </w:rPr>
        <w:t>]</w:t>
      </w:r>
    </w:p>
    <w:sectPr w:rsidR="00C85B3E" w:rsidRPr="00604AE1" w:rsidSect="007B6855">
      <w:pgSz w:w="12240" w:h="15840"/>
      <w:pgMar w:top="1440" w:right="1440" w:bottom="1440" w:left="1440" w:header="720" w:footer="9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48C1FF" w14:textId="77777777" w:rsidR="001F3DC8" w:rsidRDefault="001F3DC8">
      <w:pPr>
        <w:spacing w:before="0"/>
      </w:pPr>
      <w:r>
        <w:separator/>
      </w:r>
    </w:p>
  </w:endnote>
  <w:endnote w:type="continuationSeparator" w:id="0">
    <w:p w14:paraId="065CDCF5" w14:textId="77777777" w:rsidR="001F3DC8" w:rsidRDefault="001F3DC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horzAnchor="margin" w:tblpXSpec="center" w:tblpYSpec="bottom"/>
      <w:tblOverlap w:val="never"/>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04"/>
      <w:gridCol w:w="5056"/>
    </w:tblGrid>
    <w:tr w:rsidR="00CB2E72" w14:paraId="22EF3640" w14:textId="77777777" w:rsidTr="0086011D">
      <w:trPr>
        <w:trHeight w:val="723"/>
      </w:trPr>
      <w:tc>
        <w:tcPr>
          <w:tcW w:w="4304" w:type="dxa"/>
          <w:shd w:val="clear" w:color="auto" w:fill="auto"/>
          <w:tcMar>
            <w:left w:w="0" w:type="dxa"/>
            <w:right w:w="0" w:type="dxa"/>
          </w:tcMar>
          <w:vAlign w:val="bottom"/>
        </w:tcPr>
        <w:p w14:paraId="48212582" w14:textId="77777777" w:rsidR="00CB2E72" w:rsidRDefault="00CB2E72" w:rsidP="0086011D">
          <w:pPr>
            <w:pStyle w:val="Normalsanserifnospacebetween"/>
            <w:framePr w:wrap="auto" w:hAnchor="text" w:xAlign="left" w:yAlign="inline"/>
            <w:suppressOverlap w:val="0"/>
          </w:pPr>
          <w:r>
            <w:t>U.S.</w:t>
          </w:r>
          <w:r w:rsidRPr="00DA5399">
            <w:t xml:space="preserve"> Department of the Interior</w:t>
          </w:r>
        </w:p>
        <w:p w14:paraId="3AA8C1B8" w14:textId="77777777" w:rsidR="00CB2E72" w:rsidRDefault="00CB2E72" w:rsidP="0086011D">
          <w:pPr>
            <w:pStyle w:val="Normalsanserifnospacebetween"/>
            <w:framePr w:wrap="auto" w:hAnchor="text" w:xAlign="left" w:yAlign="inline"/>
            <w:suppressOverlap w:val="0"/>
          </w:pPr>
          <w:r w:rsidRPr="00DA5399">
            <w:t>Bu</w:t>
          </w:r>
          <w:r>
            <w:t>reau of Ocean Energy Management</w:t>
          </w:r>
        </w:p>
        <w:p w14:paraId="771C9358" w14:textId="26BBA4DC" w:rsidR="00CB2E72" w:rsidRPr="00DA5399" w:rsidRDefault="00AB6D66" w:rsidP="0086011D">
          <w:pPr>
            <w:pStyle w:val="Normalsanserifnospacebetween"/>
            <w:framePr w:wrap="auto" w:hAnchor="text" w:xAlign="left" w:yAlign="inline"/>
            <w:suppressOverlap w:val="0"/>
          </w:pPr>
          <w:r>
            <w:t xml:space="preserve">Headquarters, </w:t>
          </w:r>
          <w:r w:rsidR="00CB2E72">
            <w:t>Sterling, VA</w:t>
          </w:r>
        </w:p>
      </w:tc>
      <w:tc>
        <w:tcPr>
          <w:tcW w:w="5056" w:type="dxa"/>
          <w:shd w:val="clear" w:color="auto" w:fill="auto"/>
          <w:vAlign w:val="center"/>
        </w:tcPr>
        <w:p w14:paraId="1E4D9F91" w14:textId="77777777" w:rsidR="00CB2E72" w:rsidRDefault="00CB2E72" w:rsidP="00E832B8">
          <w:pPr>
            <w:jc w:val="right"/>
          </w:pPr>
          <w:r>
            <w:rPr>
              <w:noProof/>
            </w:rPr>
            <w:drawing>
              <wp:anchor distT="0" distB="0" distL="114300" distR="114300" simplePos="0" relativeHeight="251659264" behindDoc="0" locked="0" layoutInCell="1" allowOverlap="1" wp14:anchorId="002DA035" wp14:editId="7167CD0B">
                <wp:simplePos x="0" y="0"/>
                <wp:positionH relativeFrom="column">
                  <wp:posOffset>1670685</wp:posOffset>
                </wp:positionH>
                <wp:positionV relativeFrom="line">
                  <wp:posOffset>-67945</wp:posOffset>
                </wp:positionV>
                <wp:extent cx="1533525" cy="65468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EM logo text bottom 1000 px.jpg"/>
                        <pic:cNvPicPr/>
                      </pic:nvPicPr>
                      <pic:blipFill rotWithShape="1">
                        <a:blip r:embed="rId1" cstate="print">
                          <a:extLst>
                            <a:ext uri="{28A0092B-C50C-407E-A947-70E740481C1C}">
                              <a14:useLocalDpi xmlns:a14="http://schemas.microsoft.com/office/drawing/2010/main" val="0"/>
                            </a:ext>
                          </a:extLst>
                        </a:blip>
                        <a:srcRect t="7457" r="4167" b="7093"/>
                        <a:stretch/>
                      </pic:blipFill>
                      <pic:spPr bwMode="auto">
                        <a:xfrm>
                          <a:off x="0" y="0"/>
                          <a:ext cx="1533525" cy="6546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4E00EE0C" w14:textId="77777777" w:rsidR="00CB2E72" w:rsidRDefault="00CB2E72" w:rsidP="00E832B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7711474"/>
      <w:docPartObj>
        <w:docPartGallery w:val="Page Numbers (Bottom of Page)"/>
        <w:docPartUnique/>
      </w:docPartObj>
    </w:sdtPr>
    <w:sdtEndPr>
      <w:rPr>
        <w:noProof/>
      </w:rPr>
    </w:sdtEndPr>
    <w:sdtContent>
      <w:p w14:paraId="6790DFBF" w14:textId="77777777" w:rsidR="00CB2E72" w:rsidRDefault="00CB2E72" w:rsidP="00CB2E7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2AE3B0" w14:textId="77777777" w:rsidR="001F3DC8" w:rsidRDefault="001F3DC8">
      <w:pPr>
        <w:spacing w:before="0"/>
      </w:pPr>
      <w:r>
        <w:separator/>
      </w:r>
    </w:p>
  </w:footnote>
  <w:footnote w:type="continuationSeparator" w:id="0">
    <w:p w14:paraId="7AEEFCE4" w14:textId="77777777" w:rsidR="001F3DC8" w:rsidRDefault="001F3DC8">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9F727" w14:textId="77777777" w:rsidR="00E66221" w:rsidRDefault="001F3DC8">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F7DB8"/>
    <w:multiLevelType w:val="hybridMultilevel"/>
    <w:tmpl w:val="8CE84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45175C"/>
    <w:multiLevelType w:val="hybridMultilevel"/>
    <w:tmpl w:val="D70EC47A"/>
    <w:lvl w:ilvl="0" w:tplc="0D108E28">
      <w:start w:val="1"/>
      <w:numFmt w:val="decimal"/>
      <w:lvlText w:val="%1."/>
      <w:lvlJc w:val="left"/>
      <w:pPr>
        <w:ind w:left="840" w:hanging="360"/>
      </w:pPr>
      <w:rPr>
        <w:rFonts w:ascii="Arial" w:eastAsia="Arial" w:hAnsi="Arial" w:cs="Arial" w:hint="default"/>
        <w:spacing w:val="-1"/>
        <w:w w:val="100"/>
        <w:sz w:val="22"/>
        <w:szCs w:val="22"/>
      </w:rPr>
    </w:lvl>
    <w:lvl w:ilvl="1" w:tplc="3078CE22">
      <w:numFmt w:val="bullet"/>
      <w:lvlText w:val="•"/>
      <w:lvlJc w:val="left"/>
      <w:pPr>
        <w:ind w:left="1716" w:hanging="360"/>
      </w:pPr>
      <w:rPr>
        <w:rFonts w:hint="default"/>
      </w:rPr>
    </w:lvl>
    <w:lvl w:ilvl="2" w:tplc="7242BF9E">
      <w:numFmt w:val="bullet"/>
      <w:lvlText w:val="•"/>
      <w:lvlJc w:val="left"/>
      <w:pPr>
        <w:ind w:left="2592" w:hanging="360"/>
      </w:pPr>
      <w:rPr>
        <w:rFonts w:hint="default"/>
      </w:rPr>
    </w:lvl>
    <w:lvl w:ilvl="3" w:tplc="C02CE968">
      <w:numFmt w:val="bullet"/>
      <w:lvlText w:val="•"/>
      <w:lvlJc w:val="left"/>
      <w:pPr>
        <w:ind w:left="3468" w:hanging="360"/>
      </w:pPr>
      <w:rPr>
        <w:rFonts w:hint="default"/>
      </w:rPr>
    </w:lvl>
    <w:lvl w:ilvl="4" w:tplc="C9AC67B4">
      <w:numFmt w:val="bullet"/>
      <w:lvlText w:val="•"/>
      <w:lvlJc w:val="left"/>
      <w:pPr>
        <w:ind w:left="4344" w:hanging="360"/>
      </w:pPr>
      <w:rPr>
        <w:rFonts w:hint="default"/>
      </w:rPr>
    </w:lvl>
    <w:lvl w:ilvl="5" w:tplc="044C20BC">
      <w:numFmt w:val="bullet"/>
      <w:lvlText w:val="•"/>
      <w:lvlJc w:val="left"/>
      <w:pPr>
        <w:ind w:left="5220" w:hanging="360"/>
      </w:pPr>
      <w:rPr>
        <w:rFonts w:hint="default"/>
      </w:rPr>
    </w:lvl>
    <w:lvl w:ilvl="6" w:tplc="0E50863E">
      <w:numFmt w:val="bullet"/>
      <w:lvlText w:val="•"/>
      <w:lvlJc w:val="left"/>
      <w:pPr>
        <w:ind w:left="6096" w:hanging="360"/>
      </w:pPr>
      <w:rPr>
        <w:rFonts w:hint="default"/>
      </w:rPr>
    </w:lvl>
    <w:lvl w:ilvl="7" w:tplc="80022EFE">
      <w:numFmt w:val="bullet"/>
      <w:lvlText w:val="•"/>
      <w:lvlJc w:val="left"/>
      <w:pPr>
        <w:ind w:left="6972" w:hanging="360"/>
      </w:pPr>
      <w:rPr>
        <w:rFonts w:hint="default"/>
      </w:rPr>
    </w:lvl>
    <w:lvl w:ilvl="8" w:tplc="303E2BA8">
      <w:numFmt w:val="bullet"/>
      <w:lvlText w:val="•"/>
      <w:lvlJc w:val="left"/>
      <w:pPr>
        <w:ind w:left="7848" w:hanging="360"/>
      </w:pPr>
      <w:rPr>
        <w:rFonts w:hint="default"/>
      </w:rPr>
    </w:lvl>
  </w:abstractNum>
  <w:abstractNum w:abstractNumId="2" w15:restartNumberingAfterBreak="0">
    <w:nsid w:val="2EB16B0A"/>
    <w:multiLevelType w:val="multilevel"/>
    <w:tmpl w:val="04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5D0544FE"/>
    <w:multiLevelType w:val="hybridMultilevel"/>
    <w:tmpl w:val="AF82B504"/>
    <w:lvl w:ilvl="0" w:tplc="08701A98">
      <w:numFmt w:val="bullet"/>
      <w:lvlText w:val="-"/>
      <w:lvlJc w:val="left"/>
      <w:pPr>
        <w:ind w:left="405" w:hanging="360"/>
      </w:pPr>
      <w:rPr>
        <w:rFonts w:ascii="Times New Roman" w:eastAsiaTheme="minorEastAsia"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ocumentProtection w:edit="trackedChange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190"/>
    <w:rsid w:val="00000C34"/>
    <w:rsid w:val="00007682"/>
    <w:rsid w:val="00040490"/>
    <w:rsid w:val="000565B4"/>
    <w:rsid w:val="000832C9"/>
    <w:rsid w:val="00091D69"/>
    <w:rsid w:val="000D3678"/>
    <w:rsid w:val="000E0467"/>
    <w:rsid w:val="000E45D3"/>
    <w:rsid w:val="000F02CE"/>
    <w:rsid w:val="00104E72"/>
    <w:rsid w:val="00130C1B"/>
    <w:rsid w:val="00143B51"/>
    <w:rsid w:val="00144570"/>
    <w:rsid w:val="00164259"/>
    <w:rsid w:val="001A3E47"/>
    <w:rsid w:val="001B4DD8"/>
    <w:rsid w:val="001C1E54"/>
    <w:rsid w:val="001F3DC8"/>
    <w:rsid w:val="00230F34"/>
    <w:rsid w:val="00241A22"/>
    <w:rsid w:val="002432BA"/>
    <w:rsid w:val="002461B8"/>
    <w:rsid w:val="00264296"/>
    <w:rsid w:val="00275227"/>
    <w:rsid w:val="002955A0"/>
    <w:rsid w:val="002D010B"/>
    <w:rsid w:val="003203A6"/>
    <w:rsid w:val="003531DE"/>
    <w:rsid w:val="00381A0F"/>
    <w:rsid w:val="003B7E73"/>
    <w:rsid w:val="003C237A"/>
    <w:rsid w:val="003C420C"/>
    <w:rsid w:val="00462874"/>
    <w:rsid w:val="00470388"/>
    <w:rsid w:val="00485219"/>
    <w:rsid w:val="00496402"/>
    <w:rsid w:val="004A7DBC"/>
    <w:rsid w:val="004C7204"/>
    <w:rsid w:val="004D1007"/>
    <w:rsid w:val="004E78E2"/>
    <w:rsid w:val="004F6486"/>
    <w:rsid w:val="00553678"/>
    <w:rsid w:val="005C7CB8"/>
    <w:rsid w:val="005D1955"/>
    <w:rsid w:val="005D3DB0"/>
    <w:rsid w:val="005E29E1"/>
    <w:rsid w:val="00603097"/>
    <w:rsid w:val="00604AE1"/>
    <w:rsid w:val="00656988"/>
    <w:rsid w:val="0067495A"/>
    <w:rsid w:val="00696887"/>
    <w:rsid w:val="006A00FE"/>
    <w:rsid w:val="006B1E75"/>
    <w:rsid w:val="006B3764"/>
    <w:rsid w:val="007020BA"/>
    <w:rsid w:val="007168FD"/>
    <w:rsid w:val="007276E2"/>
    <w:rsid w:val="00770D88"/>
    <w:rsid w:val="00774AB2"/>
    <w:rsid w:val="00797C75"/>
    <w:rsid w:val="007A4428"/>
    <w:rsid w:val="007B6855"/>
    <w:rsid w:val="007D0E79"/>
    <w:rsid w:val="00816081"/>
    <w:rsid w:val="00817F8A"/>
    <w:rsid w:val="00826190"/>
    <w:rsid w:val="008B001A"/>
    <w:rsid w:val="008D1BB8"/>
    <w:rsid w:val="009A5213"/>
    <w:rsid w:val="009E0EC3"/>
    <w:rsid w:val="00A14AEE"/>
    <w:rsid w:val="00A40D4E"/>
    <w:rsid w:val="00A557EB"/>
    <w:rsid w:val="00A72EA8"/>
    <w:rsid w:val="00AA4154"/>
    <w:rsid w:val="00AB2AED"/>
    <w:rsid w:val="00AB6D66"/>
    <w:rsid w:val="00AC17CB"/>
    <w:rsid w:val="00AE0292"/>
    <w:rsid w:val="00B07145"/>
    <w:rsid w:val="00B21897"/>
    <w:rsid w:val="00B24755"/>
    <w:rsid w:val="00B97085"/>
    <w:rsid w:val="00BD57DF"/>
    <w:rsid w:val="00BE295E"/>
    <w:rsid w:val="00BE4B67"/>
    <w:rsid w:val="00C119C5"/>
    <w:rsid w:val="00C30331"/>
    <w:rsid w:val="00C45FF3"/>
    <w:rsid w:val="00C85B3E"/>
    <w:rsid w:val="00CA4A19"/>
    <w:rsid w:val="00CB2E72"/>
    <w:rsid w:val="00CB7A64"/>
    <w:rsid w:val="00CC2389"/>
    <w:rsid w:val="00CC5E87"/>
    <w:rsid w:val="00CC73ED"/>
    <w:rsid w:val="00CD44E1"/>
    <w:rsid w:val="00D0650A"/>
    <w:rsid w:val="00D67A8B"/>
    <w:rsid w:val="00D72AA6"/>
    <w:rsid w:val="00DB1E47"/>
    <w:rsid w:val="00DB60FD"/>
    <w:rsid w:val="00DD4EFD"/>
    <w:rsid w:val="00DF1AEB"/>
    <w:rsid w:val="00E43FEC"/>
    <w:rsid w:val="00E471EB"/>
    <w:rsid w:val="00E77169"/>
    <w:rsid w:val="00E93DCE"/>
    <w:rsid w:val="00E9704D"/>
    <w:rsid w:val="00ED5B06"/>
    <w:rsid w:val="00EF05EF"/>
    <w:rsid w:val="00EF401B"/>
    <w:rsid w:val="00F24078"/>
    <w:rsid w:val="00F24E9A"/>
    <w:rsid w:val="00F43C8F"/>
    <w:rsid w:val="00F6423B"/>
    <w:rsid w:val="00F6708D"/>
    <w:rsid w:val="00F7547B"/>
    <w:rsid w:val="00FD6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CD817F"/>
  <w15:chartTrackingRefBased/>
  <w15:docId w15:val="{71CCE35D-99AC-4038-A5A4-E61322D59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D66"/>
    <w:pPr>
      <w:spacing w:before="200" w:after="0" w:line="240" w:lineRule="auto"/>
    </w:pPr>
    <w:rPr>
      <w:rFonts w:ascii="Times New Roman" w:eastAsiaTheme="minorEastAsia" w:hAnsi="Times New Roman"/>
    </w:rPr>
  </w:style>
  <w:style w:type="paragraph" w:styleId="Heading1">
    <w:name w:val="heading 1"/>
    <w:basedOn w:val="Normal"/>
    <w:next w:val="Normal"/>
    <w:link w:val="Heading1Char"/>
    <w:uiPriority w:val="9"/>
    <w:qFormat/>
    <w:rsid w:val="00C85B3E"/>
    <w:pPr>
      <w:keepNext/>
      <w:numPr>
        <w:numId w:val="1"/>
      </w:numPr>
      <w:spacing w:before="480" w:after="200"/>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semiHidden/>
    <w:unhideWhenUsed/>
    <w:qFormat/>
    <w:rsid w:val="002955A0"/>
    <w:pPr>
      <w:keepNext/>
      <w:keepLines/>
      <w:numPr>
        <w:ilvl w:val="1"/>
        <w:numId w:val="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955A0"/>
    <w:pPr>
      <w:keepNext/>
      <w:keepLines/>
      <w:numPr>
        <w:ilvl w:val="2"/>
        <w:numId w:val="1"/>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955A0"/>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2955A0"/>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2955A0"/>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Heading1"/>
    <w:next w:val="Normal"/>
    <w:link w:val="Heading7Char"/>
    <w:uiPriority w:val="9"/>
    <w:unhideWhenUsed/>
    <w:qFormat/>
    <w:rsid w:val="00826190"/>
    <w:pPr>
      <w:numPr>
        <w:ilvl w:val="6"/>
      </w:numPr>
      <w:outlineLvl w:val="6"/>
    </w:pPr>
    <w:rPr>
      <w:b w:val="0"/>
      <w:bCs w:val="0"/>
    </w:rPr>
  </w:style>
  <w:style w:type="paragraph" w:styleId="Heading8">
    <w:name w:val="heading 8"/>
    <w:basedOn w:val="Heading9"/>
    <w:next w:val="Normal"/>
    <w:link w:val="Heading8Char"/>
    <w:uiPriority w:val="9"/>
    <w:unhideWhenUsed/>
    <w:qFormat/>
    <w:rsid w:val="00826190"/>
    <w:pPr>
      <w:keepNext/>
      <w:numPr>
        <w:ilvl w:val="7"/>
      </w:numPr>
      <w:spacing w:after="0" w:line="240" w:lineRule="auto"/>
      <w:outlineLvl w:val="7"/>
    </w:pPr>
    <w:rPr>
      <w:sz w:val="26"/>
    </w:rPr>
  </w:style>
  <w:style w:type="paragraph" w:styleId="Heading9">
    <w:name w:val="heading 9"/>
    <w:next w:val="Normal"/>
    <w:link w:val="Heading9Char"/>
    <w:uiPriority w:val="9"/>
    <w:unhideWhenUsed/>
    <w:qFormat/>
    <w:rsid w:val="00826190"/>
    <w:pPr>
      <w:numPr>
        <w:ilvl w:val="8"/>
        <w:numId w:val="1"/>
      </w:numPr>
      <w:spacing w:before="200"/>
      <w:outlineLvl w:val="8"/>
    </w:pPr>
    <w:rPr>
      <w:rFonts w:ascii="Arial" w:eastAsiaTheme="majorEastAsia" w:hAnsi="Arial"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rsid w:val="00826190"/>
    <w:rPr>
      <w:rFonts w:ascii="Arial" w:eastAsiaTheme="majorEastAsia" w:hAnsi="Arial" w:cstheme="majorBidi"/>
      <w:b/>
      <w:bCs/>
      <w:sz w:val="28"/>
      <w:szCs w:val="28"/>
    </w:rPr>
  </w:style>
  <w:style w:type="character" w:customStyle="1" w:styleId="Heading8Char">
    <w:name w:val="Heading 8 Char"/>
    <w:basedOn w:val="DefaultParagraphFont"/>
    <w:link w:val="Heading8"/>
    <w:uiPriority w:val="9"/>
    <w:rsid w:val="00826190"/>
    <w:rPr>
      <w:rFonts w:ascii="Arial" w:eastAsiaTheme="majorEastAsia" w:hAnsi="Arial" w:cstheme="majorBidi"/>
      <w:b/>
      <w:bCs/>
      <w:sz w:val="26"/>
      <w:szCs w:val="28"/>
    </w:rPr>
  </w:style>
  <w:style w:type="character" w:customStyle="1" w:styleId="Heading9Char">
    <w:name w:val="Heading 9 Char"/>
    <w:basedOn w:val="DefaultParagraphFont"/>
    <w:link w:val="Heading9"/>
    <w:uiPriority w:val="9"/>
    <w:rsid w:val="00826190"/>
    <w:rPr>
      <w:rFonts w:ascii="Arial" w:eastAsiaTheme="majorEastAsia" w:hAnsi="Arial" w:cstheme="majorBidi"/>
      <w:b/>
      <w:bCs/>
      <w:szCs w:val="28"/>
    </w:rPr>
  </w:style>
  <w:style w:type="paragraph" w:customStyle="1" w:styleId="Normalsanserif">
    <w:name w:val="Normal san serif"/>
    <w:basedOn w:val="Normal"/>
    <w:qFormat/>
    <w:rsid w:val="00826190"/>
    <w:rPr>
      <w:rFonts w:ascii="Arial" w:hAnsi="Arial"/>
    </w:rPr>
  </w:style>
  <w:style w:type="paragraph" w:styleId="ListParagraph">
    <w:name w:val="List Paragraph"/>
    <w:basedOn w:val="Normal"/>
    <w:uiPriority w:val="1"/>
    <w:qFormat/>
    <w:rsid w:val="00826190"/>
    <w:pPr>
      <w:spacing w:before="60"/>
      <w:ind w:left="720"/>
      <w:contextualSpacing/>
    </w:pPr>
  </w:style>
  <w:style w:type="character" w:styleId="Strong">
    <w:name w:val="Strong"/>
    <w:basedOn w:val="DefaultParagraphFont"/>
    <w:uiPriority w:val="22"/>
    <w:rsid w:val="00826190"/>
    <w:rPr>
      <w:b/>
      <w:bCs/>
    </w:rPr>
  </w:style>
  <w:style w:type="paragraph" w:customStyle="1" w:styleId="FigureCaption">
    <w:name w:val="Figure Caption"/>
    <w:basedOn w:val="Normal"/>
    <w:qFormat/>
    <w:rsid w:val="00826190"/>
    <w:pPr>
      <w:tabs>
        <w:tab w:val="left" w:pos="1440"/>
      </w:tabs>
      <w:ind w:left="1440" w:hanging="1440"/>
    </w:pPr>
    <w:rPr>
      <w:rFonts w:ascii="Arial" w:hAnsi="Arial"/>
      <w:b/>
      <w:sz w:val="20"/>
    </w:rPr>
  </w:style>
  <w:style w:type="paragraph" w:styleId="BodyText">
    <w:name w:val="Body Text"/>
    <w:basedOn w:val="Normal"/>
    <w:link w:val="BodyTextChar"/>
    <w:uiPriority w:val="1"/>
    <w:qFormat/>
    <w:rsid w:val="00AB6D66"/>
    <w:pPr>
      <w:widowControl w:val="0"/>
      <w:autoSpaceDE w:val="0"/>
      <w:autoSpaceDN w:val="0"/>
      <w:spacing w:before="0" w:after="200"/>
    </w:pPr>
    <w:rPr>
      <w:rFonts w:eastAsia="Arial" w:cs="Arial"/>
    </w:rPr>
  </w:style>
  <w:style w:type="character" w:customStyle="1" w:styleId="BodyTextChar">
    <w:name w:val="Body Text Char"/>
    <w:basedOn w:val="DefaultParagraphFont"/>
    <w:link w:val="BodyText"/>
    <w:uiPriority w:val="1"/>
    <w:rsid w:val="00AB6D66"/>
    <w:rPr>
      <w:rFonts w:ascii="Times New Roman" w:eastAsia="Arial" w:hAnsi="Times New Roman" w:cs="Arial"/>
    </w:rPr>
  </w:style>
  <w:style w:type="character" w:customStyle="1" w:styleId="Hyperlinkindoc">
    <w:name w:val="Hyperlink in doc"/>
    <w:basedOn w:val="DefaultParagraphFont"/>
    <w:uiPriority w:val="1"/>
    <w:qFormat/>
    <w:rsid w:val="00826190"/>
    <w:rPr>
      <w:b/>
      <w:color w:val="auto"/>
    </w:rPr>
  </w:style>
  <w:style w:type="character" w:customStyle="1" w:styleId="Heading1Char">
    <w:name w:val="Heading 1 Char"/>
    <w:basedOn w:val="DefaultParagraphFont"/>
    <w:link w:val="Heading1"/>
    <w:uiPriority w:val="9"/>
    <w:rsid w:val="00C85B3E"/>
    <w:rPr>
      <w:rFonts w:ascii="Arial" w:eastAsiaTheme="majorEastAsia" w:hAnsi="Arial" w:cstheme="majorBidi"/>
      <w:b/>
      <w:bCs/>
      <w:sz w:val="28"/>
      <w:szCs w:val="28"/>
    </w:rPr>
  </w:style>
  <w:style w:type="paragraph" w:styleId="BalloonText">
    <w:name w:val="Balloon Text"/>
    <w:basedOn w:val="Normal"/>
    <w:link w:val="BalloonTextChar"/>
    <w:uiPriority w:val="99"/>
    <w:semiHidden/>
    <w:unhideWhenUsed/>
    <w:rsid w:val="00826190"/>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190"/>
    <w:rPr>
      <w:rFonts w:ascii="Segoe UI" w:eastAsiaTheme="minorEastAsia" w:hAnsi="Segoe UI" w:cs="Segoe UI"/>
      <w:sz w:val="18"/>
      <w:szCs w:val="18"/>
    </w:rPr>
  </w:style>
  <w:style w:type="table" w:styleId="TableGrid">
    <w:name w:val="Table Grid"/>
    <w:basedOn w:val="TableNormal"/>
    <w:rsid w:val="00320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CB2E72"/>
    <w:pPr>
      <w:spacing w:before="720" w:after="480"/>
      <w:contextualSpacing/>
    </w:pPr>
    <w:rPr>
      <w:rFonts w:ascii="Arial" w:eastAsiaTheme="majorEastAsia" w:hAnsi="Arial" w:cstheme="majorBidi"/>
      <w:b/>
      <w:spacing w:val="5"/>
      <w:sz w:val="48"/>
      <w:szCs w:val="52"/>
    </w:rPr>
  </w:style>
  <w:style w:type="character" w:customStyle="1" w:styleId="TitleChar">
    <w:name w:val="Title Char"/>
    <w:basedOn w:val="DefaultParagraphFont"/>
    <w:link w:val="Title"/>
    <w:uiPriority w:val="10"/>
    <w:rsid w:val="00CB2E72"/>
    <w:rPr>
      <w:rFonts w:ascii="Arial" w:eastAsiaTheme="majorEastAsia" w:hAnsi="Arial" w:cstheme="majorBidi"/>
      <w:b/>
      <w:spacing w:val="5"/>
      <w:sz w:val="48"/>
      <w:szCs w:val="52"/>
    </w:rPr>
  </w:style>
  <w:style w:type="paragraph" w:customStyle="1" w:styleId="Normalsanserifnospacebetween">
    <w:name w:val="Normal san serif no space between"/>
    <w:basedOn w:val="Normalsanserif"/>
    <w:qFormat/>
    <w:rsid w:val="00CB2E72"/>
    <w:pPr>
      <w:framePr w:wrap="around" w:hAnchor="margin" w:xAlign="center" w:yAlign="bottom"/>
      <w:spacing w:before="0"/>
      <w:suppressOverlap/>
    </w:pPr>
    <w:rPr>
      <w:rFonts w:eastAsiaTheme="minorHAnsi"/>
      <w:b/>
    </w:rPr>
  </w:style>
  <w:style w:type="paragraph" w:customStyle="1" w:styleId="Normalnospacebetween">
    <w:name w:val="Normal no space between"/>
    <w:basedOn w:val="Normal"/>
    <w:qFormat/>
    <w:rsid w:val="00CB2E72"/>
    <w:pPr>
      <w:contextualSpacing/>
    </w:pPr>
  </w:style>
  <w:style w:type="character" w:styleId="Hyperlink">
    <w:name w:val="Hyperlink"/>
    <w:basedOn w:val="DefaultParagraphFont"/>
    <w:uiPriority w:val="99"/>
    <w:unhideWhenUsed/>
    <w:rsid w:val="00CB2E72"/>
    <w:rPr>
      <w:b w:val="0"/>
      <w:color w:val="0066FF"/>
      <w:u w:val="single"/>
    </w:rPr>
  </w:style>
  <w:style w:type="paragraph" w:styleId="Header">
    <w:name w:val="header"/>
    <w:basedOn w:val="Normal"/>
    <w:link w:val="HeaderChar"/>
    <w:uiPriority w:val="99"/>
    <w:unhideWhenUsed/>
    <w:rsid w:val="00CB2E72"/>
    <w:pPr>
      <w:tabs>
        <w:tab w:val="center" w:pos="4680"/>
        <w:tab w:val="right" w:pos="9360"/>
      </w:tabs>
      <w:spacing w:before="0"/>
    </w:pPr>
  </w:style>
  <w:style w:type="character" w:customStyle="1" w:styleId="HeaderChar">
    <w:name w:val="Header Char"/>
    <w:basedOn w:val="DefaultParagraphFont"/>
    <w:link w:val="Header"/>
    <w:uiPriority w:val="99"/>
    <w:rsid w:val="00CB2E72"/>
    <w:rPr>
      <w:rFonts w:ascii="Times New Roman" w:eastAsiaTheme="minorEastAsia" w:hAnsi="Times New Roman"/>
    </w:rPr>
  </w:style>
  <w:style w:type="paragraph" w:styleId="Footer">
    <w:name w:val="footer"/>
    <w:basedOn w:val="Normal"/>
    <w:link w:val="FooterChar"/>
    <w:uiPriority w:val="99"/>
    <w:unhideWhenUsed/>
    <w:rsid w:val="00CB2E72"/>
    <w:pPr>
      <w:tabs>
        <w:tab w:val="center" w:pos="4680"/>
        <w:tab w:val="right" w:pos="9360"/>
      </w:tabs>
      <w:spacing w:before="0"/>
    </w:pPr>
  </w:style>
  <w:style w:type="character" w:customStyle="1" w:styleId="FooterChar">
    <w:name w:val="Footer Char"/>
    <w:basedOn w:val="DefaultParagraphFont"/>
    <w:link w:val="Footer"/>
    <w:uiPriority w:val="99"/>
    <w:rsid w:val="00CB2E72"/>
    <w:rPr>
      <w:rFonts w:ascii="Times New Roman" w:eastAsiaTheme="minorEastAsia" w:hAnsi="Times New Roman"/>
    </w:rPr>
  </w:style>
  <w:style w:type="character" w:customStyle="1" w:styleId="Heading2Char">
    <w:name w:val="Heading 2 Char"/>
    <w:basedOn w:val="DefaultParagraphFont"/>
    <w:link w:val="Heading2"/>
    <w:uiPriority w:val="9"/>
    <w:semiHidden/>
    <w:rsid w:val="002955A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2955A0"/>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2955A0"/>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2955A0"/>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2955A0"/>
    <w:rPr>
      <w:rFonts w:asciiTheme="majorHAnsi" w:eastAsiaTheme="majorEastAsia" w:hAnsiTheme="majorHAnsi" w:cstheme="majorBidi"/>
      <w:color w:val="243F60" w:themeColor="accent1" w:themeShade="7F"/>
    </w:rPr>
  </w:style>
  <w:style w:type="character" w:styleId="CommentReference">
    <w:name w:val="annotation reference"/>
    <w:basedOn w:val="DefaultParagraphFont"/>
    <w:uiPriority w:val="99"/>
    <w:semiHidden/>
    <w:unhideWhenUsed/>
    <w:rsid w:val="00DB60FD"/>
    <w:rPr>
      <w:sz w:val="16"/>
      <w:szCs w:val="16"/>
    </w:rPr>
  </w:style>
  <w:style w:type="paragraph" w:styleId="CommentText">
    <w:name w:val="annotation text"/>
    <w:basedOn w:val="Normal"/>
    <w:link w:val="CommentTextChar"/>
    <w:uiPriority w:val="99"/>
    <w:semiHidden/>
    <w:unhideWhenUsed/>
    <w:rsid w:val="00DB60FD"/>
    <w:rPr>
      <w:sz w:val="20"/>
      <w:szCs w:val="20"/>
    </w:rPr>
  </w:style>
  <w:style w:type="character" w:customStyle="1" w:styleId="CommentTextChar">
    <w:name w:val="Comment Text Char"/>
    <w:basedOn w:val="DefaultParagraphFont"/>
    <w:link w:val="CommentText"/>
    <w:uiPriority w:val="99"/>
    <w:semiHidden/>
    <w:rsid w:val="00DB60FD"/>
    <w:rPr>
      <w:rFonts w:ascii="Times New Roman" w:eastAsiaTheme="minorEastAsia" w:hAnsi="Times New Roman"/>
      <w:sz w:val="20"/>
      <w:szCs w:val="20"/>
    </w:rPr>
  </w:style>
  <w:style w:type="paragraph" w:styleId="CommentSubject">
    <w:name w:val="annotation subject"/>
    <w:basedOn w:val="CommentText"/>
    <w:next w:val="CommentText"/>
    <w:link w:val="CommentSubjectChar"/>
    <w:uiPriority w:val="99"/>
    <w:semiHidden/>
    <w:unhideWhenUsed/>
    <w:rsid w:val="00DB60FD"/>
    <w:rPr>
      <w:b/>
      <w:bCs/>
    </w:rPr>
  </w:style>
  <w:style w:type="character" w:customStyle="1" w:styleId="CommentSubjectChar">
    <w:name w:val="Comment Subject Char"/>
    <w:basedOn w:val="CommentTextChar"/>
    <w:link w:val="CommentSubject"/>
    <w:uiPriority w:val="99"/>
    <w:semiHidden/>
    <w:rsid w:val="00DB60FD"/>
    <w:rPr>
      <w:rFonts w:ascii="Times New Roman" w:eastAsiaTheme="minorEastAsia" w:hAnsi="Times New Roman"/>
      <w:b/>
      <w:bCs/>
      <w:sz w:val="20"/>
      <w:szCs w:val="20"/>
    </w:rPr>
  </w:style>
  <w:style w:type="paragraph" w:styleId="Revision">
    <w:name w:val="Revision"/>
    <w:hidden/>
    <w:uiPriority w:val="99"/>
    <w:semiHidden/>
    <w:rsid w:val="003B7E73"/>
    <w:pPr>
      <w:spacing w:after="0" w:line="240" w:lineRule="auto"/>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arinecadastre.gov/espi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boem.gov/esp-data-and-information-specification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1455</Words>
  <Characters>7963</Characters>
  <Application>Microsoft Office Word</Application>
  <DocSecurity>0</DocSecurity>
  <Lines>176</Lines>
  <Paragraphs>107</Paragraphs>
  <ScaleCrop>false</ScaleCrop>
  <HeadingPairs>
    <vt:vector size="2" baseType="variant">
      <vt:variant>
        <vt:lpstr>Title</vt:lpstr>
      </vt:variant>
      <vt:variant>
        <vt:i4>1</vt:i4>
      </vt:variant>
    </vt:vector>
  </HeadingPairs>
  <TitlesOfParts>
    <vt:vector size="1" baseType="lpstr">
      <vt:lpstr>BOEM Environmental Studies Program Technical Summary Guidance 2021</vt:lpstr>
    </vt:vector>
  </TitlesOfParts>
  <Company/>
  <LinksUpToDate>false</LinksUpToDate>
  <CharactersWithSpaces>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BOEM Environmental Studies Program Technical Summary Guidance 2021</dc:title>
  <dc:subject/>
  <dc:creator>USDOI Bureau of Ocean Energy Management</dc:creator>
  <cp:keywords>BOEM, Environmental Studies Program, study report, technical summary, guidance</cp:keywords>
  <dc:description/>
  <cp:lastModifiedBy>Chen, Paulina E</cp:lastModifiedBy>
  <cp:revision>7</cp:revision>
  <dcterms:created xsi:type="dcterms:W3CDTF">2021-04-28T13:22:00Z</dcterms:created>
  <dcterms:modified xsi:type="dcterms:W3CDTF">2021-09-16T14:35:00Z</dcterms:modified>
</cp:coreProperties>
</file>